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КАМПАНІЇ „ROWEROWY MAJ 2022”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Загальні правила: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1. Кампанія „Rowerowy Maj 2022” (нижче називана Кампанією) є конкурсом. Кампанія адресована до учнів початкових класів та дітей дошкільного віку, а також працівників початкових шкіл/дитсадків міста Вроцлав.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2. Кампанію організовує місто Вроцлав  (далі – Організатор ).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3. Основна мета – популяризація фізичної активності та стійкої мобільності, зокрема їзди на велосипеді.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4. Учасником може бути учень/вихованець дитячого садочку і працівник закладу зареєстрованого до участі в кампанії.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5. До активних подорожей зараховуємо проїзд до школи чи садка на велосипеді, самокаті, роликах, роликових ковзанах, скейтборді, а в випадку далеких дистанцій – подорож громадським транспортом у поєднанні з активними подорожами, за умови, що заклад не працює в дистанційному режимі з 4 по 31 травня 2022 року (без урахування максимум п’яти вихідних днів для окремих класів).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6. Якщо школа чи дитячий садок працює в режимі дистанційного навчання, до активних подорожей зараховуємо проїзди на велосипеді, самокаті, роликах, роликових ковзанах, які тривають не менше, ніж 30 хвилин, здійснені з 4 травня по 31 травня 2022 року (без урахування максимум п’яти вихідних днів для окремих класів).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7. Реєстрація активних поїздок здійснюється щодня шляхом запису проїзду біля прізвища учня/дитини в класному веложурналі.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8. За кожну поїздку учасник отримує дві наклейки: квадратну, щоб приклеїти до велосипедного буклету, і круглу, щоб приклеїти на плакат класу, крім випадків, коли заклад перебуває на дистанційному навчанні.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9. Кампанія передбачає змагання в формі гри на трьох рівнях: індивідуальному, класному та в групі закладів, що беруть участь. Найактивніші учасники у кожній номінації будуть нагородженні.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10. Результат закладу, класу/групи визначається кількістю активних поїздок по відношенню до кількості всіх учнів/дітей у даному закладі, класі/групі.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11. Кампанія проводиться за допомогою спеціальної ІТ- програми, що включає сторінку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https://rowerowymaj.eu</w:t>
        </w:r>
      </w:hyperlink>
      <w:r w:rsidDel="00000000" w:rsidR="00000000" w:rsidRPr="00000000">
        <w:rPr>
          <w:rtl w:val="0"/>
        </w:rPr>
        <w:t xml:space="preserve"> з результатами, рейтингами та інформацією про кампанію.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12. Остаточними результатами є результати, представлені на сайті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https://rowerowymaj.eu</w:t>
        </w:r>
      </w:hyperlink>
      <w:r w:rsidDel="00000000" w:rsidR="00000000" w:rsidRPr="00000000">
        <w:rPr>
          <w:rtl w:val="0"/>
        </w:rPr>
        <w:t xml:space="preserve"> 01.06.2022 року о 8:00 або пізнішу дату, змінену організаторами не пізніше, ніж 7 днів до визначеного терміну.</w:t>
      </w:r>
    </w:p>
    <w:p w:rsidR="00000000" w:rsidDel="00000000" w:rsidP="00000000" w:rsidRDefault="00000000" w:rsidRPr="00000000" w14:paraId="0000000F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13. Вся інформація про перебіг кампанії в місті Гданськ буде розміщена на сайті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https://rowerowymaj.eu/wroclaw-2022/</w:t>
        </w:r>
      </w:hyperlink>
      <w:r w:rsidDel="00000000" w:rsidR="00000000" w:rsidRPr="00000000">
        <w:rPr>
          <w:rtl w:val="0"/>
        </w:rPr>
        <w:t xml:space="preserve">..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147955</wp:posOffset>
            </wp:positionH>
            <wp:positionV relativeFrom="paragraph">
              <wp:posOffset>-8243568</wp:posOffset>
            </wp:positionV>
            <wp:extent cx="1073150" cy="64960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49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C62B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C0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C057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C0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C057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C0576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C05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C057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rowerowymaj.eu/wroclaw-202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owerowymaj.eu" TargetMode="External"/><Relationship Id="rId8" Type="http://schemas.openxmlformats.org/officeDocument/2006/relationships/hyperlink" Target="https://rowerowymaj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12ebUbVqm0xu91U8gtyFaaEPYg==">AMUW2mXk0xTn66rR2CTm6M3mSW6IlgD0zX8YDRtLXE4DLPpb1Dp7Gxt5btSmmmyymkMYHxY8h3uqvol/asX3IzPLps2EX7tXEpjEgRJd6L4VFnWyeORRn6tWpHEDuw3+ZcFhMwtNdFjf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2022-03-15T08:09:00Z</dcterms:created>
  <dc:creator>Borkowska Monika (WGK)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