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0609"/>
          <w:spacing w:val="-26"/>
          <w:kern w:val="36"/>
          <w:sz w:val="32"/>
          <w:szCs w:val="32"/>
          <w:lang w:eastAsia="pl-PL"/>
        </w:rPr>
      </w:pPr>
      <w:bookmarkStart w:id="0" w:name="_GoBack"/>
      <w:bookmarkEnd w:id="0"/>
      <w:r w:rsidRPr="00243CCB">
        <w:rPr>
          <w:rFonts w:ascii="Times New Roman" w:eastAsia="Times New Roman" w:hAnsi="Times New Roman" w:cs="Times New Roman"/>
          <w:b/>
          <w:bCs/>
          <w:color w:val="050609"/>
          <w:spacing w:val="-26"/>
          <w:kern w:val="36"/>
          <w:sz w:val="32"/>
          <w:szCs w:val="32"/>
          <w:lang w:eastAsia="pl-PL"/>
        </w:rPr>
        <w:t>Bulimia u dzieci i młodzieży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50609"/>
          <w:sz w:val="32"/>
          <w:szCs w:val="32"/>
          <w:shd w:val="clear" w:color="auto" w:fill="FFFFFF"/>
        </w:rPr>
      </w:pPr>
      <w:r w:rsidRPr="00243CCB">
        <w:rPr>
          <w:rFonts w:ascii="Times New Roman" w:hAnsi="Times New Roman" w:cs="Times New Roman"/>
          <w:color w:val="050609"/>
          <w:sz w:val="32"/>
          <w:szCs w:val="32"/>
          <w:shd w:val="clear" w:color="auto" w:fill="FFFFFF"/>
        </w:rPr>
        <w:t>Bulimia u dzieci i młodzieży staje się coraz powszechniejszym problemem. Dzieci cierpiące na bulimię martwią się wyglądem swojego ciała i ilością spożywanego pokarmu. Typowe w przypadku bulimii jest także obrzydzenie wobec samego siebie, jak i wstyd spowodowany czynnościami, które wywołują w celu pozbycia się pokarmu ze swojego organizmu. Powodem bulimii mogą być czynniki indywidualne, rodzinne czy społeczno-kulturowe.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50609"/>
          <w:spacing w:val="-26"/>
          <w:kern w:val="36"/>
          <w:sz w:val="32"/>
          <w:szCs w:val="32"/>
          <w:lang w:eastAsia="pl-PL"/>
        </w:rPr>
      </w:pPr>
      <w:r w:rsidRPr="00243CCB"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 wp14:anchorId="659F0712" wp14:editId="20DF28B0">
            <wp:extent cx="5760720" cy="3851054"/>
            <wp:effectExtent l="0" t="0" r="0" b="0"/>
            <wp:docPr id="1" name="Obraz 1" descr="Bulimia u dzi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imia u dziec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 xml:space="preserve">Bulimia – przyczyny </w:t>
      </w:r>
      <w:proofErr w:type="spellStart"/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>zachorowań</w:t>
      </w:r>
      <w:proofErr w:type="spellEnd"/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Bulimia to zaburzenia jedzenia powszechne w krajach wysokorozwiniętych. Zdecydowanie częściej chorują na nią dziewczęta i kobiety aniżeli chłopcy czy mężczyźni. Prawdopodobnie ma to związek w z większą podatnością kobiet do przejmowania się swoim wyglądem i znacznych wahań nastrojów czy silniejszego odczuwania presji społecznej podczas okresu dojrzewania.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Młodzi ludzie są bardzo podatni na wpływy otoczenia, łatwiej nimi manipulować. Zmiany fizyczne, hormonalne w wyniku dojrzewania zaburzają obraz samego siebie, rodzą niepokój i chwieją poczuciem pewności siebie. Media czy kolorowa prasa nasycona kultem ciała kreują wzory piękna, którym ulegają nastolatki w nadziei na akceptację społeczną.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lastRenderedPageBreak/>
        <w:t xml:space="preserve">Stres związany z szkołą, osiągnięciami, kontaktami z płcią przeciwną, problemy w komunikacji z rodzicami może rzutować na podejmowanie ryzykownych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zachowań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żywieniowych. Ataki obżarstwa mogą na chwilą zagłuszać nieśmiałość, złość, lęk czy smutek nastolatka.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Niektóre środowiska artystyczne czy sportowe (balet, taniec, kręgi związane z modą itd.) narzucają szczupłość, restrykcyjne diety czy ćwiczenia i mogą zwiększać ryzyko wystąpienia bulimii u nastolatków.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>Czynniki wywołujące bulimię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Rodzina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Nastolatki często chcą wyrwać się z nadmiernie dominującej rodziny, która ogranicza ich samodzielność. Nadopiekuńczość, perfekcjonizm i zmienne lub skrajne zasady współżycia wzmacniają zachowania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bulimiczne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Zaniżona samoocena matki i silny krytycyzm wraz z wysokimi oczekiwaniami wobec dziecka może rzutować na zaburzenia jedzenia u niego. Innymi przyczynami mogą być złe relacja między rodzicami, kłótnie, rozwód, brak stabilizacji rodzinnej przy jednoczesnym nadmiernym obciążaniu dziecka odpowiedzialnością i utrudnianiu mu osiągnięcia autonomii sprzyjają wystąpieniu bulimii.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Uwarunkowania biologiczne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Na </w:t>
      </w: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występowanie bulimii </w:t>
      </w: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mogą mieć także czynniki genetyczne czyli dziedziczone skłonności do zaburzeń odżywiania i przekazywania złych nawyków żywieniowych. Badania na zwierzętach potwierdzają, że prawdopodobnie chromosom 10 odpowiedzialny jest za wystąpienie otyłości i bulimii. Do czynników genetycznych warunkujących zachorowanie na bulimię należą obsesje dotyczące jedzenia i wartości BMI, zbyt duże przejmowanie się popełnianymi błędami, wiek pojawienia się pierwszej miesiączki.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Zaburzenia hormonalne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Hormony wpływające na zaburzenia metabolizmu i gospodarki węglowodanowej, poziom stresu i odczuwania głodu mogą przyczyniać się do powstawania bulimii.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U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bulimika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zakłócone jest wydzielanie:</w:t>
      </w:r>
    </w:p>
    <w:p w:rsidR="00BB4E26" w:rsidRPr="00BB4E26" w:rsidRDefault="00BB4E26" w:rsidP="00BB4E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glikordykidow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mających wpływ na regulację przemiany węglowodanowej,</w:t>
      </w:r>
    </w:p>
    <w:p w:rsidR="00BB4E26" w:rsidRPr="00BB4E26" w:rsidRDefault="00BB4E26" w:rsidP="00BB4E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lastRenderedPageBreak/>
        <w:t>serotoniny odpowiedzialnej za poziom lęku, odczuwania głodu i wpływa na ogólny stan samopoczucia.</w:t>
      </w:r>
    </w:p>
    <w:p w:rsidR="00BB4E26" w:rsidRPr="00BB4E26" w:rsidRDefault="00BB4E26" w:rsidP="00BB4E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dopaminy związanej z mechanizmem nagradzania się,</w:t>
      </w:r>
    </w:p>
    <w:p w:rsidR="00BB4E26" w:rsidRPr="00BB4E26" w:rsidRDefault="00BB4E26" w:rsidP="00BB4E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norepinefryny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, która wpływa na poziom stresu,</w:t>
      </w:r>
    </w:p>
    <w:p w:rsidR="00BB4E26" w:rsidRPr="00BB4E26" w:rsidRDefault="00BB4E26" w:rsidP="00BB4E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grealiny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odpowiedzialnej za metabolizm i odczuwanie głodu.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Nieprawidłowości w strukturze mózgu i połączeń neuronalnych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Badania naukowców z Columbia University i New York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Psychiatric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Instytute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wskazują, że niektóre połączenia między komórkami nerwowymi pozwalają na kontrolowanie dobrowolnych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zachowań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u ludzi. W przypadku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bulimików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połączenia te nie działają poprawnie. Prawdopodobnie przyczyniają się do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zachowań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impulsywnych i utrudniają samokontrolę w sytuacjach stresowych.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>Następstwa bulimii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Konsekwencje zaburzeń jedzenia odbiją się w zarówno w psychice jak i w zdrowiu fizycznym.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Zaburzenia gospodarki wodno-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elektrolintowej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mogą doprowadzić do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hipokalemii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czyli zmniejszenia się jonów potasu we krwi a tym samym zaburzeń pracy serca (wstrząs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kardiogenny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, </w:t>
      </w:r>
      <w:hyperlink r:id="rId7" w:history="1">
        <w:r w:rsidRPr="00BB4E26">
          <w:rPr>
            <w:rFonts w:ascii="Times New Roman" w:eastAsia="Times New Roman" w:hAnsi="Times New Roman" w:cs="Times New Roman"/>
            <w:b/>
            <w:bCs/>
            <w:color w:val="0F3C74"/>
            <w:sz w:val="28"/>
            <w:szCs w:val="28"/>
            <w:lang w:eastAsia="pl-PL"/>
          </w:rPr>
          <w:t>arytmia serca</w:t>
        </w:r>
      </w:hyperlink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 czy zawal mięśnia sercowego). Innym powikłaniem jest obniżenie jonów wapnia i chloru, które osłabiają kości i zęby, mogą wpłynąć na zaburzenia krzepliwości krwi, zaburzenia procesów trawiennych, przewodnictwa impulsów nerwowych i gospodarki wodnej.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Częstym powikłaniami przy prowokowaniu wymiotów są uszkodzenie szkliwa, próchnica choroby przyzębia, </w:t>
      </w: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podrażnienie błon śluzowych gardła</w:t>
      </w: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, przełyku, obrzęk ślinianek podżuchwowych, przyusznych czy rany na języku, uszkodzenie żołądka, krwawienie w obrębie przewodu pokarmowego, wrzody, </w:t>
      </w:r>
      <w:hyperlink r:id="rId8" w:history="1">
        <w:r w:rsidRPr="00BB4E26">
          <w:rPr>
            <w:rFonts w:ascii="Times New Roman" w:eastAsia="Times New Roman" w:hAnsi="Times New Roman" w:cs="Times New Roman"/>
            <w:b/>
            <w:bCs/>
            <w:color w:val="0F3C74"/>
            <w:sz w:val="28"/>
            <w:szCs w:val="28"/>
            <w:lang w:eastAsia="pl-PL"/>
          </w:rPr>
          <w:t>zapalenie błony śluzowej żołądka</w:t>
        </w:r>
      </w:hyperlink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, wrzody dwunastnicy, </w:t>
      </w:r>
      <w:hyperlink r:id="rId9" w:history="1">
        <w:r w:rsidRPr="00BB4E26">
          <w:rPr>
            <w:rFonts w:ascii="Times New Roman" w:eastAsia="Times New Roman" w:hAnsi="Times New Roman" w:cs="Times New Roman"/>
            <w:b/>
            <w:bCs/>
            <w:color w:val="0F3C74"/>
            <w:sz w:val="28"/>
            <w:szCs w:val="28"/>
            <w:lang w:eastAsia="pl-PL"/>
          </w:rPr>
          <w:t>zapalenie trzustki</w:t>
        </w:r>
      </w:hyperlink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. W ekstremalnych przypadkach może dość do </w:t>
      </w: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pęknięcia żołądka</w:t>
      </w: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, przełyku, nowotworu krtani czy przełyku.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Objaw Russela</w:t>
      </w: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 to charakterystyczne otarcia, podrażnienia, blizny występujące na wskazującym i środkowym palcu powstałe w wyniku drażnienia palcami przełyku.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Psychiczne konsekwencje związane są z ogromnym poczuciem winy, niską samooceną, długotrwałym poziomem stresu, które mogą doprowadzać do depresji czy prób samobójczych, alkoholizmu czy nadużywania środków psychoaktywnych lub leków uspokajających.</w:t>
      </w:r>
    </w:p>
    <w:p w:rsid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lastRenderedPageBreak/>
        <w:t>Nadmierne kupowanie jedzenia </w:t>
      </w: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może doprowadzać do finansowych problemów a niemożność przerwania błędnego koła jedzenia naraża na zaciąganie długów i kolejnych kłopotów finansowych.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 xml:space="preserve">Jak pomóc </w:t>
      </w:r>
      <w:proofErr w:type="spellStart"/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>bulimikowi</w:t>
      </w:r>
      <w:proofErr w:type="spellEnd"/>
      <w:r w:rsidRPr="00BB4E26">
        <w:rPr>
          <w:rFonts w:ascii="Times New Roman" w:eastAsia="Times New Roman" w:hAnsi="Times New Roman" w:cs="Times New Roman"/>
          <w:b/>
          <w:bCs/>
          <w:color w:val="050609"/>
          <w:spacing w:val="-15"/>
          <w:sz w:val="28"/>
          <w:szCs w:val="28"/>
          <w:lang w:eastAsia="pl-PL"/>
        </w:rPr>
        <w:t>?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Tak jak w każdym leczeniu potrzebna jest silna motywacja do zmiany swojego życia i poprawy złego samopoczucia.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Otoczenie powinno także edukować się w zakresie pomocy i zrozumienia mechanizmu bulimii. Wsparcie i zmiana nastawienia do dziecka chorującego na bulimię pozwala </w:t>
      </w:r>
      <w:proofErr w:type="spellStart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bulimikowi</w:t>
      </w:r>
      <w:proofErr w:type="spellEnd"/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 xml:space="preserve"> odzyskać zaufanie do innych i wiarę w siebie.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Psychoterapia indywidualna i rodzinna wraz opieka dietetyczną to skuteczne metody wykorzystywane w leczeniu bulimii. Wspomagają zmianę postawy, wizerunku siebie, uczy samokontroli, rozumienia i wyrażania swoich potrzeb czy emocji, a także wspiera relacje interpersonalne.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b/>
          <w:bCs/>
          <w:color w:val="050609"/>
          <w:sz w:val="28"/>
          <w:szCs w:val="28"/>
          <w:lang w:eastAsia="pl-PL"/>
        </w:rPr>
        <w:t>Kilka rad dla rodziców: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wykaż większe zrozumienie i szczerze rozmawiaj z dzieckiem.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unikaj krytyki i nie zwiększaj nadmiernie oczekiwań wobec dziecka,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postaraj się dostrzec wachlarz zdolności i możliwości nastolatka oraz pokazuj mu jak może je rozwijać, mocno wspomagając jego działania,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interesuj się życiem swojego dziecka lecz nie kontroluj go,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szczere rozmowy, w których zachowasz tolerancję pozwolą dziecku otworzyć się i dzielić swoimi problemami,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nie oceniaj ani nie obmawiaj czy publicznie nie komentuj spraw związanych z dzieckiem, kiedy ono jest tego świadkiem,</w:t>
      </w:r>
    </w:p>
    <w:p w:rsidR="00BB4E26" w:rsidRPr="00BB4E26" w:rsidRDefault="00BB4E26" w:rsidP="00BB4E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  <w:r w:rsidRPr="00BB4E26"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  <w:t>traktuj nastolatka jak partnera, który poszukuje w rodzicu wparcia i mądrego doradcy, a nie osoby narzucającej swoje zdanie, ułatwiającej codzienne zadania czy wyręczającej dziecko.</w:t>
      </w:r>
    </w:p>
    <w:p w:rsidR="00BB4E26" w:rsidRPr="00BB4E26" w:rsidRDefault="00BB4E26" w:rsidP="00BB4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28"/>
          <w:szCs w:val="28"/>
          <w:lang w:eastAsia="pl-PL"/>
        </w:rPr>
      </w:pP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50609"/>
          <w:spacing w:val="-15"/>
          <w:sz w:val="32"/>
          <w:szCs w:val="32"/>
          <w:u w:val="single"/>
          <w:lang w:eastAsia="pl-PL"/>
        </w:rPr>
      </w:pPr>
      <w:r w:rsidRPr="00243CCB">
        <w:rPr>
          <w:rFonts w:ascii="Times New Roman" w:eastAsia="Times New Roman" w:hAnsi="Times New Roman" w:cs="Times New Roman"/>
          <w:b/>
          <w:bCs/>
          <w:color w:val="050609"/>
          <w:spacing w:val="-15"/>
          <w:sz w:val="32"/>
          <w:szCs w:val="32"/>
          <w:u w:val="single"/>
          <w:lang w:eastAsia="pl-PL"/>
        </w:rPr>
        <w:t>Anoreksja (jadłowstręt psychiczny)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b/>
          <w:bCs/>
          <w:color w:val="050609"/>
          <w:sz w:val="32"/>
          <w:szCs w:val="32"/>
          <w:lang w:eastAsia="pl-PL"/>
        </w:rPr>
        <w:t>Anoreksja</w:t>
      </w: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znana także jako </w:t>
      </w:r>
      <w:hyperlink r:id="rId10" w:history="1">
        <w:r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jadłowstręt psychiczny</w:t>
        </w:r>
      </w:hyperlink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to schorzenie spotykane coraz częściej. Dotyka ona głównie osoby młode, częściej dziewczęta, aczkolwiek w ostatnich latach obserwuje się wzrost zachorowalności wśród mężczyzn. Najwięcej przypadków odnotowuje się u osób pomiędzy 14 a 18 rokiem życia.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lastRenderedPageBreak/>
        <w:t>Anoreksja to choroba polegająca na podejmowaniu przez pacjenta świadomych działań, które mają na celu zmniejszenie masy ciała. Jednym z kryteriów jej rozpoznania jest masa ciała pacjenta o co najmniej 15 % niższa od masy należnej (czyli takiej, jaką ten pacjent mieć powinien po uwzględnieniu jego wzrostu i wieku).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b/>
          <w:bCs/>
          <w:color w:val="050609"/>
          <w:sz w:val="32"/>
          <w:szCs w:val="32"/>
          <w:lang w:eastAsia="pl-PL"/>
        </w:rPr>
        <w:t>Objawami najbardziej charakterystycznymi dla jadłowstrętu psychicznego</w:t>
      </w: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 są: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masa ciała znacznie poniżej masy należnej – bardzo szczupła sylwetka, wystające kości;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zaburzenie obrazu własnego ciała – chorzy mimo iż są bardzo szczupli, a nawet chudzi, ciągle postrzegają się jako osoby otyłe; nigdy nie są zadowoleni z wyglądu własnego ciała;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paniczny, chorobliwy lęk przed przytyciem i wynikające z niego wprowadzane przez pacjenta restrykcje żywieniowe;</w:t>
      </w:r>
    </w:p>
    <w:p w:rsidR="00243CCB" w:rsidRPr="00243CCB" w:rsidRDefault="00D67FE0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hyperlink r:id="rId11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zaburzenia snu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obniżenie nastroju, aż do depresji włącznie, myśli samobójcze;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drażliwość, zamknięcie się w sobie, odizolowywanie się od otoczenia;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u kobiet – wtórny brak miesiączki, w mężczyzn </w:t>
      </w:r>
      <w:hyperlink r:id="rId12" w:history="1">
        <w:r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zaburzenia potencji i libido</w:t>
        </w:r>
      </w:hyperlink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;</w:t>
      </w:r>
    </w:p>
    <w:p w:rsidR="00243CCB" w:rsidRPr="00243CCB" w:rsidRDefault="00243CCB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zwiększona podatność na infekcje – osłabiony głodzeniem organizm nie ma siły obronić się przed nawet błahymi infekcjami;</w:t>
      </w:r>
    </w:p>
    <w:p w:rsidR="00243CCB" w:rsidRPr="00243CCB" w:rsidRDefault="00D67FE0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hyperlink r:id="rId13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zaniki mięśniowe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 </w:t>
      </w:r>
      <w:hyperlink r:id="rId14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bladość skóry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 i błon śluzowych;</w:t>
      </w:r>
    </w:p>
    <w:p w:rsidR="00243CCB" w:rsidRPr="00243CCB" w:rsidRDefault="00D67FE0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hyperlink r:id="rId15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suchość i łuszczenie się skóry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zwiększona łamliwość i </w:t>
      </w:r>
      <w:hyperlink r:id="rId16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wypadanie włosów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kruche paznokcie;</w:t>
      </w:r>
    </w:p>
    <w:p w:rsidR="00243CCB" w:rsidRPr="00243CCB" w:rsidRDefault="00D67FE0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hyperlink r:id="rId17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omdlenia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obniżenie ciśnienia tętniczego krwi;</w:t>
      </w:r>
    </w:p>
    <w:p w:rsidR="00243CCB" w:rsidRPr="00243CCB" w:rsidRDefault="00D67FE0" w:rsidP="00243C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hyperlink r:id="rId18" w:history="1">
        <w:r w:rsidR="00243CCB" w:rsidRPr="00243CCB">
          <w:rPr>
            <w:rFonts w:ascii="Times New Roman" w:eastAsia="Times New Roman" w:hAnsi="Times New Roman" w:cs="Times New Roman"/>
            <w:b/>
            <w:bCs/>
            <w:color w:val="0F3C74"/>
            <w:sz w:val="32"/>
            <w:szCs w:val="32"/>
            <w:lang w:eastAsia="pl-PL"/>
          </w:rPr>
          <w:t>próchnica zębów</w:t>
        </w:r>
      </w:hyperlink>
      <w:r w:rsidR="00243CCB"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, stany zapalne dotyczące błony śluzowej przewodu pokarmowego (najczęściej żołądka).</w:t>
      </w:r>
    </w:p>
    <w:p w:rsidR="00243CCB" w:rsidRPr="00243CCB" w:rsidRDefault="00243CCB" w:rsidP="00243C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</w:pPr>
      <w:r w:rsidRPr="00243CCB">
        <w:rPr>
          <w:rFonts w:ascii="Times New Roman" w:eastAsia="Times New Roman" w:hAnsi="Times New Roman" w:cs="Times New Roman"/>
          <w:color w:val="050609"/>
          <w:sz w:val="32"/>
          <w:szCs w:val="32"/>
          <w:lang w:eastAsia="pl-PL"/>
        </w:rPr>
        <w:t>Anoreksja jest chorobą, która potencjalnie zagraża życiu pacjenta, ponieważ prowadzić może do wystąpienia skrajnego wyniszczenia organizmu i załamania wszystkich procesów zachodzących w ustroju. Z tego właśnie powodu tak istotne jest jej rozpoznanie i szybko wdrożone odpowiednie leczenie specjalistyczne.</w:t>
      </w:r>
    </w:p>
    <w:p w:rsidR="009F758E" w:rsidRPr="00243CCB" w:rsidRDefault="009F758E">
      <w:pPr>
        <w:rPr>
          <w:rFonts w:ascii="Times New Roman" w:hAnsi="Times New Roman" w:cs="Times New Roman"/>
          <w:sz w:val="32"/>
          <w:szCs w:val="32"/>
        </w:rPr>
      </w:pPr>
    </w:p>
    <w:sectPr w:rsidR="009F758E" w:rsidRPr="0024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7AD5"/>
    <w:multiLevelType w:val="multilevel"/>
    <w:tmpl w:val="3C10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63C5B"/>
    <w:multiLevelType w:val="multilevel"/>
    <w:tmpl w:val="830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41AC9"/>
    <w:multiLevelType w:val="multilevel"/>
    <w:tmpl w:val="7B50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45C7A"/>
    <w:multiLevelType w:val="multilevel"/>
    <w:tmpl w:val="E72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7378D"/>
    <w:multiLevelType w:val="multilevel"/>
    <w:tmpl w:val="C62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E0DBE"/>
    <w:multiLevelType w:val="multilevel"/>
    <w:tmpl w:val="A4E0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46CD4"/>
    <w:multiLevelType w:val="multilevel"/>
    <w:tmpl w:val="A288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41103"/>
    <w:multiLevelType w:val="multilevel"/>
    <w:tmpl w:val="A22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0F107C"/>
    <w:multiLevelType w:val="multilevel"/>
    <w:tmpl w:val="323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FA7622"/>
    <w:multiLevelType w:val="multilevel"/>
    <w:tmpl w:val="9E44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C6E6C"/>
    <w:multiLevelType w:val="multilevel"/>
    <w:tmpl w:val="D05E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0106B3"/>
    <w:multiLevelType w:val="multilevel"/>
    <w:tmpl w:val="47D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CB"/>
    <w:rsid w:val="00243CCB"/>
    <w:rsid w:val="009F758E"/>
    <w:rsid w:val="00AC6C19"/>
    <w:rsid w:val="00B45676"/>
    <w:rsid w:val="00BB0094"/>
    <w:rsid w:val="00BB4E26"/>
    <w:rsid w:val="00D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lecz.to/uklad-pokarmowy/zapalenie-blony-sluzowej-zoladka/" TargetMode="External"/><Relationship Id="rId13" Type="http://schemas.openxmlformats.org/officeDocument/2006/relationships/hyperlink" Target="https://wylecz.to/uklad-nerwowy-i-psychiatria/zanik-miesni-atrfia-miesni/" TargetMode="External"/><Relationship Id="rId18" Type="http://schemas.openxmlformats.org/officeDocument/2006/relationships/hyperlink" Target="https://wylecz.to/stomatologia/prochnica-zebo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ylecz.to/uklad-krazenia/arytmia-serca/" TargetMode="External"/><Relationship Id="rId12" Type="http://schemas.openxmlformats.org/officeDocument/2006/relationships/hyperlink" Target="https://wylecz.to/wideo/problemy-z-libido/zaburzenia-libido/" TargetMode="External"/><Relationship Id="rId17" Type="http://schemas.openxmlformats.org/officeDocument/2006/relationships/hyperlink" Target="https://wylecz.to/uklad-krazenia/omdle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ylecz.to/choroby-skory/jakie-sa-przyczyny-nadmiernego-wypadania-wlosow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ylecz.to/uklad-nerwowy-i-psychiatria/zaburzenia-sn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ylecz.to/twarz/cera-sucha/" TargetMode="External"/><Relationship Id="rId10" Type="http://schemas.openxmlformats.org/officeDocument/2006/relationships/hyperlink" Target="https://wylecz.to/uklad-nerwowy-i-psychiatria/jadlowstret-psychiczn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ylecz.to/uklad-pokarmowy/zapalenie-trzustki/" TargetMode="External"/><Relationship Id="rId14" Type="http://schemas.openxmlformats.org/officeDocument/2006/relationships/hyperlink" Target="https://wylecz.to/choroby-krwi/bladosc-przyczy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2021-05-07T12:19:00Z</dcterms:created>
  <dcterms:modified xsi:type="dcterms:W3CDTF">2021-05-07T12:19:00Z</dcterms:modified>
</cp:coreProperties>
</file>