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8" w:rsidRPr="00CA2838" w:rsidRDefault="00CA2838" w:rsidP="00CA2838">
      <w:pPr>
        <w:pStyle w:val="Default"/>
        <w:jc w:val="center"/>
        <w:rPr>
          <w:b/>
          <w:bCs/>
          <w:sz w:val="23"/>
          <w:szCs w:val="23"/>
        </w:rPr>
      </w:pPr>
      <w:r w:rsidRPr="00CA2838">
        <w:rPr>
          <w:b/>
          <w:bCs/>
          <w:sz w:val="23"/>
          <w:szCs w:val="23"/>
        </w:rPr>
        <w:t>CZYNNIKI RYZYKA KRZYWDZENIA UCZNIÓW</w:t>
      </w:r>
    </w:p>
    <w:p w:rsidR="00CA2838" w:rsidRDefault="00CA2838" w:rsidP="00CA2838">
      <w:pPr>
        <w:pStyle w:val="Default"/>
        <w:jc w:val="both"/>
        <w:rPr>
          <w:b/>
          <w:bCs/>
          <w:sz w:val="23"/>
          <w:szCs w:val="23"/>
        </w:rPr>
      </w:pPr>
    </w:p>
    <w:p w:rsidR="00CA2838" w:rsidRDefault="00CA2838" w:rsidP="00CA2838">
      <w:pPr>
        <w:pStyle w:val="Default"/>
        <w:jc w:val="both"/>
        <w:rPr>
          <w:b/>
          <w:bCs/>
          <w:sz w:val="23"/>
          <w:szCs w:val="23"/>
        </w:rPr>
      </w:pPr>
    </w:p>
    <w:p w:rsidR="00CA2838" w:rsidRPr="00CA2838" w:rsidRDefault="00CA2838" w:rsidP="00CA2838">
      <w:pPr>
        <w:pStyle w:val="Default"/>
        <w:jc w:val="both"/>
      </w:pPr>
      <w:r w:rsidRPr="00CA2838">
        <w:t>1. Pracownicy szkoły ramach wykonywanych obowiązków zwracają uwagę na czynniki ryzyka krzywdzenia małoletnich. Takie jak: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jest często brudny, nieprzyjemnie pachnie;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kradnie jedzenie, pieniądze itp.;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żebrze - uczeń jest głodny;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nie otrzymuje potrzebnej mu opieki medycznej, szczepień, okularów itp.;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nie ma przyborów szkolnych, odzieży i butów dostosowanych do warunków atmosferycznych;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ma widoczne obrażenia ciała (siniaki, ugryzienia, rany), których pochodzenie trudno jest wyjaśnić.Podawane przez ucznia wyjaśnienia dotyczące obrażeń wydają się niewiarygodne, niemożliwe, niespójne itp., uczeń często je zmienia;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pojawia się niechęć do lekcji wychowania fizycznego - uczeń nadmiernie zakrywa ciało, niestosownie do sytuacji i pogody;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boi się rodzica lub opiekuna, boi się przed powrotem do domu;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wzdryga się, kiedy podchodzi do niego osoba dorosła;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cierpi na powtarzające się dolegliwości somatyczne: bóle brzucha, głowy, mdłości itp.;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jest bierny, wycofany, uległy, przestraszony, depresyjny itp. lub zachowuje się agresywnie, buntuje się, samo okalecza się itp.;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osiąga słabsze wyniki w nauce w stosunku do swoich możliwości;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ucieka w świat wirtualny (gry komputerowe, Internet);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używa środków psychoaktywnych;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nadmiernie szuka kontaktu z dorosłym (tzw. „lepkość” małoletniego);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w pracach artystycznych, rozmowach, zachowaniu ucznia zaczynają dominować elementy/motywy seksualne;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jest rozbudzony seksualnie niestosownie do sytuacji i wieku;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ucieka z domu;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nastąpiła nagła i wyraźna zmiana zachowania ucznia;</w:t>
      </w:r>
    </w:p>
    <w:p w:rsidR="00CA2838" w:rsidRPr="00CA2838" w:rsidRDefault="00CA2838" w:rsidP="00CA2838">
      <w:pPr>
        <w:pStyle w:val="Default"/>
        <w:numPr>
          <w:ilvl w:val="0"/>
          <w:numId w:val="1"/>
        </w:numPr>
        <w:jc w:val="both"/>
      </w:pPr>
      <w:r w:rsidRPr="00CA2838">
        <w:t>uczeń mówi o przemocy.</w:t>
      </w:r>
    </w:p>
    <w:p w:rsidR="00CA2838" w:rsidRPr="00CA2838" w:rsidRDefault="00CA2838" w:rsidP="00CA2838">
      <w:pPr>
        <w:pStyle w:val="Default"/>
        <w:jc w:val="both"/>
      </w:pPr>
    </w:p>
    <w:p w:rsidR="00CA2838" w:rsidRPr="00CA2838" w:rsidRDefault="00CA2838" w:rsidP="00CA2838">
      <w:pPr>
        <w:pStyle w:val="Default"/>
      </w:pPr>
      <w:r w:rsidRPr="00CA2838">
        <w:t xml:space="preserve">2. </w:t>
      </w:r>
      <w:r>
        <w:rPr>
          <w:sz w:val="23"/>
          <w:szCs w:val="23"/>
        </w:rPr>
        <w:t xml:space="preserve">Jeżeli z objawami u ucznia współwystępują określone zachowania rodziców lub opiekunów, to podejrzenie, że uczeń jest krzywdzony jest szczególnie uzasadnione. Niepokojące zachowania rodziców to: 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1) rodzic (opiekun) podaje nieprzekonujące lub sprzeczne informacje lub odmawia wyjaśnień przyczyn obrażeń ucznia;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2) rodzic (opiekun) odmawia, nie utrzymuje kontaktów z osobami zainteresowanymi losem ucznia;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3) rodzic (opiekun) mówi o małoletnim w negatywny sposób, ciągle obwinia, poniża strofuje ucznia (np.: używając określeń takich jak „idiota”, „gnojek”, „gówniarz”);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4) rodzic (opiekun) poddaje małoletniego surowej dyscyplinie lub jest nadopiekuńczy lub zbyt pobłażliwy lub odrzuca małoletniego;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5) rodzic (opiekun) nie interesuje się losem i problemami małoletniego;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6) rodzic (opiekun) często nie potrafi podać miejsca, w którym aktualnie przebywa małoletni;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7) rodzic (opiekun) jest apatyczny, pogrążony w depresji;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8) rodzic (opiekun) zachowuje się agresywnie;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9) rodzic (opiekun) ma zaburzony kontakt z rzeczywistością np. reaguje nieadekwatnie do sytuacji;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10) wypowiada się niespójnie;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11) rodzic (opiekun) nie ma świadomości lub neguje potrzeby małoletniego;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12) rodzic (opiekun) faworyzuje jedno z rodzeństwa;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13) rodzic (opiekun) przekracza dopuszczalne granice w kontakcie fizycznym lub werbalnym;</w:t>
      </w:r>
    </w:p>
    <w:p w:rsidR="00CA2838" w:rsidRPr="00CA2838" w:rsidRDefault="00CA2838" w:rsidP="00CA2838">
      <w:pPr>
        <w:pStyle w:val="Default"/>
        <w:ind w:left="709" w:hanging="283"/>
        <w:jc w:val="both"/>
      </w:pPr>
      <w:r w:rsidRPr="00CA2838">
        <w:t>14) rodzic (opiekun) nadużywa alkoholu, narkotyków lub innych środków odurzających.</w:t>
      </w:r>
    </w:p>
    <w:p w:rsidR="00CA2838" w:rsidRPr="00CA2838" w:rsidRDefault="00CA2838" w:rsidP="00CA2838">
      <w:pPr>
        <w:pStyle w:val="Default"/>
        <w:jc w:val="both"/>
      </w:pPr>
    </w:p>
    <w:p w:rsidR="00CA2838" w:rsidRPr="00CA2838" w:rsidRDefault="00CA2838" w:rsidP="00CA2838">
      <w:pPr>
        <w:pStyle w:val="Default"/>
        <w:jc w:val="both"/>
      </w:pPr>
    </w:p>
    <w:p w:rsidR="00CA2838" w:rsidRPr="00CA2838" w:rsidRDefault="00CA2838" w:rsidP="00CA2838">
      <w:pPr>
        <w:pStyle w:val="Default"/>
        <w:jc w:val="both"/>
      </w:pPr>
    </w:p>
    <w:p w:rsidR="00CA2838" w:rsidRPr="00CA2838" w:rsidRDefault="00CA2838" w:rsidP="00CA2838">
      <w:pPr>
        <w:pStyle w:val="Default"/>
        <w:jc w:val="both"/>
      </w:pPr>
    </w:p>
    <w:sectPr w:rsidR="00CA2838" w:rsidRPr="00CA2838" w:rsidSect="00725499">
      <w:pgSz w:w="11911" w:h="17340"/>
      <w:pgMar w:top="1821" w:right="542" w:bottom="654" w:left="71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7D0"/>
    <w:multiLevelType w:val="hybridMultilevel"/>
    <w:tmpl w:val="871E1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61DB7"/>
    <w:multiLevelType w:val="hybridMultilevel"/>
    <w:tmpl w:val="57E2E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A2838"/>
    <w:rsid w:val="00517805"/>
    <w:rsid w:val="00725499"/>
    <w:rsid w:val="008A3BAF"/>
    <w:rsid w:val="009755D1"/>
    <w:rsid w:val="00CA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2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Stańczyk</dc:creator>
  <cp:lastModifiedBy>SIO</cp:lastModifiedBy>
  <cp:revision>2</cp:revision>
  <dcterms:created xsi:type="dcterms:W3CDTF">2024-02-12T12:30:00Z</dcterms:created>
  <dcterms:modified xsi:type="dcterms:W3CDTF">2024-02-12T12:30:00Z</dcterms:modified>
</cp:coreProperties>
</file>