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9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media/image9.wmf" ContentType="image/x-wmf"/>
  <Override PartName="/word/media/image1.wmf" ContentType="image/x-wmf"/>
  <Override PartName="/word/media/image2.wmf" ContentType="image/x-wmf"/>
  <Override PartName="/word/media/image3.wmf" ContentType="image/x-wmf"/>
  <Override PartName="/word/media/image28.tif" ContentType="image/tif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5.png" ContentType="image/png"/>
  <Override PartName="/word/media/image26.png" ContentType="image/png"/>
  <Override PartName="/word/media/image27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AgendaPl-Semibold"/>
          <w:b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>
        <w:rPr>
          <w:rFonts w:cs="AgendaPl-Semibold"/>
          <w:b/>
          <w:color w:val="1F4E79" w:themeColor="accent1" w:themeShade="80"/>
          <w:sz w:val="32"/>
          <w:szCs w:val="32"/>
        </w:rPr>
        <w:t>Wymagania na poszczególne oceny szkolne</w:t>
      </w:r>
    </w:p>
    <w:p>
      <w:pPr>
        <w:pStyle w:val="Normal"/>
        <w:spacing w:lineRule="auto" w:line="240" w:before="0" w:after="0"/>
        <w:rPr>
          <w:rFonts w:cs="AgendaPl-Semibold"/>
          <w:b/>
          <w:b/>
          <w:color w:val="1F4E79" w:themeColor="accent1" w:themeShade="80"/>
          <w:sz w:val="32"/>
          <w:szCs w:val="32"/>
        </w:rPr>
      </w:pPr>
      <w:r>
        <w:rPr>
          <w:rFonts w:cs="AgendaPl-Semibold"/>
          <w:b/>
          <w:color w:val="1F4E79" w:themeColor="accent1" w:themeShade="80"/>
          <w:sz w:val="32"/>
          <w:szCs w:val="32"/>
        </w:rPr>
        <w:t>Klasa 8</w:t>
      </w:r>
    </w:p>
    <w:p>
      <w:pPr>
        <w:pStyle w:val="Normal"/>
        <w:spacing w:lineRule="auto" w:line="240" w:before="0" w:after="0"/>
        <w:rPr>
          <w:rFonts w:cs="Dutch801HdEU-Normal"/>
          <w:color w:val="000000"/>
          <w:sz w:val="24"/>
          <w:szCs w:val="20"/>
        </w:rPr>
      </w:pPr>
      <w:r>
        <w:rPr>
          <w:rFonts w:cs="Dutch801HdEU-Normal"/>
          <w:color w:val="000000"/>
          <w:sz w:val="24"/>
          <w:szCs w:val="20"/>
        </w:rPr>
        <w:t>Ocena postępów ucznia jest wynikiem oceny stopnia opanowania jego umiejętności podstawowych i ponadpodstawowych. W poniższej tabeli umiejętności te przypisane poszczególnym działom zostały odniesione do poszczególnych ocen szkolnych zgodnie z założeniami: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AgendaPl-Bold"/>
          <w:b/>
          <w:bCs/>
          <w:color w:val="1F4E79" w:themeColor="accent1" w:themeShade="80"/>
          <w:sz w:val="24"/>
          <w:szCs w:val="20"/>
        </w:rPr>
        <w:t xml:space="preserve">ocena dopuszczająca </w:t>
      </w:r>
      <w:r>
        <w:rPr>
          <w:rFonts w:eastAsia="Calibri" w:cs="Dutch801HdEU-Normal"/>
          <w:sz w:val="24"/>
          <w:szCs w:val="20"/>
        </w:rPr>
        <w:t xml:space="preserve">uczeń nabył większość umiejętności sprzyjających osiągnięciu wymagań podstawowych i potrafi je wykorzystać </w:t>
      </w:r>
    </w:p>
    <w:p>
      <w:pPr>
        <w:pStyle w:val="Normal"/>
        <w:spacing w:lineRule="auto" w:line="240" w:before="0" w:after="0"/>
        <w:ind w:left="720" w:hanging="0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AgendaPl-Bold"/>
          <w:b/>
          <w:bCs/>
          <w:sz w:val="24"/>
          <w:szCs w:val="20"/>
        </w:rPr>
        <w:tab/>
        <w:tab/>
        <w:tab/>
      </w:r>
      <w:r>
        <w:rPr>
          <w:rFonts w:eastAsia="Calibri" w:cs="Dutch801HdEU-Normal"/>
          <w:sz w:val="24"/>
          <w:szCs w:val="20"/>
        </w:rPr>
        <w:t>w sytuacjach typowych,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AgendaPl-Bold"/>
          <w:b/>
          <w:bCs/>
          <w:color w:val="1F4E79" w:themeColor="accent1" w:themeShade="80"/>
          <w:sz w:val="24"/>
          <w:szCs w:val="20"/>
        </w:rPr>
        <w:t xml:space="preserve">ocena dostateczna </w:t>
        <w:tab/>
      </w:r>
      <w:r>
        <w:rPr>
          <w:rFonts w:eastAsia="Calibri" w:cs="Dutch801HdEU-Normal"/>
          <w:sz w:val="24"/>
          <w:szCs w:val="20"/>
        </w:rPr>
        <w:t xml:space="preserve">uczeń nabył wszystkie umiejętności sprzyjające osiągnięciu wymagań podstawowych i potrafi je wykorzystać </w:t>
      </w:r>
    </w:p>
    <w:p>
      <w:pPr>
        <w:pStyle w:val="Normal"/>
        <w:spacing w:lineRule="auto" w:line="240" w:before="0" w:after="0"/>
        <w:ind w:left="2136" w:firstLine="696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Dutch801HdEU-Normal"/>
          <w:sz w:val="24"/>
          <w:szCs w:val="20"/>
        </w:rPr>
        <w:t>w sytuacjach typowych,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AgendaPl-Bold"/>
          <w:b/>
          <w:bCs/>
          <w:color w:val="1F4E79" w:themeColor="accent1" w:themeShade="80"/>
          <w:sz w:val="24"/>
          <w:szCs w:val="20"/>
        </w:rPr>
        <w:t xml:space="preserve">ocena dobra </w:t>
        <w:tab/>
        <w:tab/>
      </w:r>
      <w:r>
        <w:rPr>
          <w:rFonts w:eastAsia="Calibri" w:cs="Dutch801HdEU-Normal"/>
          <w:sz w:val="24"/>
          <w:szCs w:val="20"/>
        </w:rPr>
        <w:t xml:space="preserve">uczeń nabył wszystkie umiejętności sprzyjające osiągnięciu wymagań podstawowych, niektóre umiejętności </w:t>
      </w:r>
    </w:p>
    <w:p>
      <w:pPr>
        <w:pStyle w:val="Normal"/>
        <w:spacing w:lineRule="auto" w:line="240" w:before="0" w:after="0"/>
        <w:ind w:left="2136" w:firstLine="696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Dutch801HdEU-Normal"/>
          <w:sz w:val="24"/>
          <w:szCs w:val="20"/>
        </w:rPr>
        <w:t>sprzyjające osiągnięciu wymagań ponadpodstawowych i potrafi je wykorzystać w sytuacjach typowych,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AgendaPl-Bold"/>
          <w:b/>
          <w:bCs/>
          <w:color w:val="1F4E79" w:themeColor="accent1" w:themeShade="80"/>
          <w:sz w:val="24"/>
          <w:szCs w:val="20"/>
        </w:rPr>
        <w:t xml:space="preserve">ocena bardzo dobra </w:t>
        <w:tab/>
      </w:r>
      <w:r>
        <w:rPr>
          <w:rFonts w:eastAsia="Calibri" w:cs="Dutch801HdEU-Normal"/>
          <w:sz w:val="24"/>
          <w:szCs w:val="20"/>
        </w:rPr>
        <w:t xml:space="preserve">uczeń nabył wszystkie umiejętności sprzyjające osiągnięciu wymagań podstawowych i potrafi je wykorzystać </w:t>
      </w:r>
    </w:p>
    <w:p>
      <w:pPr>
        <w:pStyle w:val="Normal"/>
        <w:spacing w:lineRule="auto" w:line="240" w:before="0" w:after="0"/>
        <w:ind w:left="2124" w:firstLine="708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Dutch801HdEU-Normal"/>
          <w:sz w:val="24"/>
          <w:szCs w:val="20"/>
        </w:rPr>
        <w:t xml:space="preserve">w sytuacjach nietypowych oraz nabył niektóre umiejętności sprzyjające osiągnięciu wymagań </w:t>
      </w:r>
    </w:p>
    <w:p>
      <w:pPr>
        <w:pStyle w:val="Normal"/>
        <w:spacing w:lineRule="auto" w:line="240" w:before="0" w:after="0"/>
        <w:ind w:left="2124" w:firstLine="708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Dutch801HdEU-Normal"/>
          <w:sz w:val="24"/>
          <w:szCs w:val="20"/>
        </w:rPr>
        <w:t>ponadpodstawowych i potrafi je wykorzystać w sytuacjach typowych,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eastAsia="Calibri" w:cs="Dutch801HdEU-Normal"/>
          <w:sz w:val="24"/>
          <w:szCs w:val="20"/>
        </w:rPr>
      </w:pPr>
      <w:r>
        <w:rPr>
          <w:rFonts w:eastAsia="Calibri" w:cs="AgendaPl-Bold"/>
          <w:b/>
          <w:bCs/>
          <w:color w:val="1F4E79" w:themeColor="accent1" w:themeShade="80"/>
          <w:sz w:val="24"/>
          <w:szCs w:val="20"/>
        </w:rPr>
        <w:t xml:space="preserve">ocena celująca </w:t>
      </w:r>
      <w:r>
        <w:rPr>
          <w:rFonts w:eastAsia="Calibri" w:cs="AgendaPl-Bold"/>
          <w:b/>
          <w:bCs/>
          <w:sz w:val="24"/>
          <w:szCs w:val="20"/>
        </w:rPr>
        <w:tab/>
      </w:r>
      <w:r>
        <w:rPr>
          <w:rFonts w:eastAsia="Calibri" w:cs="Dutch801HdEU-Normal"/>
          <w:sz w:val="24"/>
          <w:szCs w:val="20"/>
        </w:rPr>
        <w:t xml:space="preserve">uczeń nabył wszystkie umiejętności sprzyjające osiągnięciu wymagań podstawowych i ponadpodstawowych </w:t>
      </w:r>
    </w:p>
    <w:p>
      <w:pPr>
        <w:pStyle w:val="Normal"/>
        <w:spacing w:lineRule="auto" w:line="240" w:before="0" w:after="0"/>
        <w:ind w:left="2136" w:firstLine="696"/>
        <w:contextualSpacing/>
        <w:rPr>
          <w:rFonts w:ascii="Calibri" w:hAnsi="Calibri" w:eastAsia="Calibri" w:cs="Dutch801HdEU-Normal"/>
          <w:color w:val="000000"/>
          <w:sz w:val="24"/>
          <w:szCs w:val="20"/>
        </w:rPr>
      </w:pPr>
      <w:r>
        <w:rPr>
          <w:rFonts w:eastAsia="Calibri" w:cs="Dutch801HdEU-Normal"/>
          <w:color w:val="000000"/>
          <w:sz w:val="24"/>
          <w:szCs w:val="20"/>
        </w:rPr>
        <w:t>i potrafi je wykorzystać w sytuacjach nietypowych.</w:t>
      </w:r>
    </w:p>
    <w:p>
      <w:pPr>
        <w:pStyle w:val="Normal"/>
        <w:spacing w:lineRule="auto" w:line="240" w:before="0" w:after="0"/>
        <w:rPr>
          <w:rFonts w:cs="Dutch801HdEU-Normal"/>
          <w:color w:val="000000"/>
          <w:sz w:val="24"/>
          <w:szCs w:val="20"/>
        </w:rPr>
      </w:pPr>
      <w:r>
        <w:rPr>
          <w:rFonts w:cs="Dutch801HdEU-Normal"/>
          <w:color w:val="000000"/>
          <w:sz w:val="24"/>
          <w:szCs w:val="20"/>
        </w:rPr>
      </w:r>
    </w:p>
    <w:tbl>
      <w:tblPr>
        <w:tblStyle w:val="Tabela-Siatka"/>
        <w:tblW w:w="141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7"/>
        <w:gridCol w:w="2368"/>
        <w:gridCol w:w="2409"/>
        <w:gridCol w:w="1"/>
        <w:gridCol w:w="2367"/>
        <w:gridCol w:w="2409"/>
        <w:gridCol w:w="2246"/>
      </w:tblGrid>
      <w:tr>
        <w:trPr/>
        <w:tc>
          <w:tcPr>
            <w:tcW w:w="2357" w:type="dxa"/>
            <w:vMerge w:val="restart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Temat</w:t>
            </w:r>
          </w:p>
        </w:tc>
        <w:tc>
          <w:tcPr>
            <w:tcW w:w="4778" w:type="dxa"/>
            <w:gridSpan w:val="3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Wymagania podstawowe</w:t>
            </w:r>
          </w:p>
        </w:tc>
        <w:tc>
          <w:tcPr>
            <w:tcW w:w="7022" w:type="dxa"/>
            <w:gridSpan w:val="3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Wymagania ponadpodstawowe</w:t>
            </w:r>
          </w:p>
        </w:tc>
      </w:tr>
      <w:tr>
        <w:trPr/>
        <w:tc>
          <w:tcPr>
            <w:tcW w:w="2357" w:type="dxa"/>
            <w:vMerge w:val="continue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</w:r>
          </w:p>
        </w:tc>
        <w:tc>
          <w:tcPr>
            <w:tcW w:w="2368" w:type="dxa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konieczne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dopuszczająca)</w:t>
            </w:r>
          </w:p>
        </w:tc>
        <w:tc>
          <w:tcPr>
            <w:tcW w:w="2409" w:type="dxa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podstawowe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dostateczna)</w:t>
            </w:r>
          </w:p>
        </w:tc>
        <w:tc>
          <w:tcPr>
            <w:tcW w:w="2368" w:type="dxa"/>
            <w:gridSpan w:val="2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rozszerzające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dobra)</w:t>
            </w:r>
          </w:p>
        </w:tc>
        <w:tc>
          <w:tcPr>
            <w:tcW w:w="2409" w:type="dxa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dopełniające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bardzo dobra)</w:t>
            </w:r>
          </w:p>
        </w:tc>
        <w:tc>
          <w:tcPr>
            <w:tcW w:w="2246" w:type="dxa"/>
            <w:tcBorders/>
            <w:shd w:color="auto" w:fill="2E74B5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wykraczające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rFonts w:cs="AgendaPl-BoldCondensed"/>
                <w:bCs/>
                <w:color w:val="FFFFFF" w:themeColor="background1"/>
                <w:sz w:val="24"/>
                <w:szCs w:val="24"/>
              </w:rPr>
              <w:t>(ocena celująca)</w:t>
            </w:r>
          </w:p>
        </w:tc>
      </w:tr>
      <w:tr>
        <w:trPr/>
        <w:tc>
          <w:tcPr>
            <w:tcW w:w="2357" w:type="dxa"/>
            <w:tcBorders/>
            <w:shd w:color="auto" w:fill="C45911" w:themeFill="accent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</w:r>
          </w:p>
        </w:tc>
        <w:tc>
          <w:tcPr>
            <w:tcW w:w="2368" w:type="dxa"/>
            <w:tcBorders/>
            <w:shd w:color="auto" w:fill="C45911" w:themeFill="accent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/>
            <w:shd w:color="auto" w:fill="C45911" w:themeFill="accent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368" w:type="dxa"/>
            <w:gridSpan w:val="2"/>
            <w:tcBorders/>
            <w:shd w:color="auto" w:fill="C45911" w:themeFill="accent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/>
            <w:shd w:color="auto" w:fill="C45911" w:themeFill="accent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2246" w:type="dxa"/>
            <w:tcBorders/>
            <w:shd w:color="auto" w:fill="C45911" w:themeFill="accent2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DZIAŁ 1. PIERWIASTKI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1.1.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Pierwiastek kwadratowy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oblicza pierwiastek drugiego stopnia z kwadratu liczby nieujemnej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podnosi do potęgi drugiej pierwiastek drugiego stopnia 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szacuje wartości pierwiastków </w:t>
            </w:r>
            <w:r>
              <w:rPr>
                <w:rFonts w:ascii="Calibri" w:hAnsi="Calibri" w:asciiTheme="minorHAnsi" w:hAnsiTheme="minorHAnsi"/>
              </w:rPr>
              <w:t>kwadratowych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podaje liczby wymierne większe lub mniejsze od danego pierwiastka kwadratowego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</w:t>
            </w:r>
            <w:r>
              <w:rPr>
                <w:rFonts w:cs="AgendaPl-RegularCondensed" w:ascii="Calibri" w:hAnsi="Calibri" w:asciiTheme="minorHAnsi" w:hAnsiTheme="minorHAnsi"/>
                <w:color w:val="auto"/>
              </w:rPr>
              <w:t>oblicza wartości pierwiastków drugiego stopnia, jeśli są liczbami wymiernymi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porównuje wartość wyrażenia zawierającego pierwiastki kwadratowe z daną liczbą wymierną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szacuje wartości wyrażeń zawierających pierwiastki drugiego stopnia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>podaje liczby wymierne większe lub mniejsze od wartości wyrażenia zawierającego pierwiastki kwadratowe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podnosi do potęgi drugiej pierwiastek drugiego stopnia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>rozwiązuje zadania tekstowe dotyczące pierwiastków kwadratowych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 podwyższonym stopniu trudności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1.2.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Pierwiastek sześcienny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oblicza pierwiastek trzeciego stopnia z sześcianu dowolnej liczby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podnosi do potęgi trzeciej pierwiastek trzeciego stopnia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szacuje wartości pierwiastków sześciennych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podaje liczby wymierne większe lub mniejsze od danego pierwiastka sześciennego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</w:t>
            </w:r>
            <w:r>
              <w:rPr>
                <w:rFonts w:cs="AgendaPl-RegularCondensed" w:ascii="Calibri" w:hAnsi="Calibri" w:asciiTheme="minorHAnsi" w:hAnsiTheme="minorHAnsi"/>
                <w:color w:val="auto"/>
              </w:rPr>
              <w:t>oblicza wartości pierwiastków trzeciego stopnia, jeśli są liczbami wymiernymi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porównuje wartość wyrażenia zawierającego pierwiastki sześcienne z daną liczbą wymierną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szacuje wartości wyrażeń zawierających pierwiastki trzeciego stopnia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podaje liczby wymierne większe lub mniejsze od wartości wyrażenia zawierającego pierwiastki sześcienne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podnosi do potęgi trzeciej pierwiastek trzeciego stopnia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rozwiązuje zadania tekstowe dotyczące pierwiastków sześciennych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 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1.3.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Pierwiastek z iloczynu i ilorazu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-*dodaje i odejmuje wyrażenia zawierające takie same pierwiastki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mnoży i dzieli pierwiastki drugiego i trzeciego stopnia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wyłącza czynnik przed pierwiastek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włącza czynnik pod pierwiastek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doprowadza do najprostszej postaci wyrażenia zawierające pierwiastki drugiego i trzeciego stopnia i oblicza ich wartość 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doprowadza do najprostszej postaci wyrażenia zawierające pierwiastki drugiego i trzeciego stopnia i oblicza ich wartość w trudniejszych przypadkach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 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1.4.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Działania na pierwiastkach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Theme="minorHAnsi" w:hAnsiTheme="minorHAnsi" w:ascii="Calibri" w:hAnsi="Calibri"/>
                <w:color w:val="auto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usuwa niewymierność z mianownika ułamka w prostych przypadkach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porównuje pierwiastki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cs="" w:ascii="Calibri" w:hAnsi="Calibri" w:asciiTheme="minorHAnsi" w:cstheme="minorBidi" w:hAnsiTheme="minorHAnsi"/>
                <w:color w:val="auto"/>
              </w:rPr>
              <w:t xml:space="preserve">- stosuje własności potęg i pierwiastków do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upraszczania wyrażeń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cs="" w:ascii="Calibri" w:hAnsi="Calibri" w:asciiTheme="minorHAnsi" w:cstheme="minorBidi" w:hAnsiTheme="minorHAnsi"/>
                <w:color w:val="auto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usuwa niewymierność z mianownika ułamka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porównuje wyrażenia zawierające pierwiastki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cs="" w:ascii="Calibri" w:hAnsi="Calibri" w:asciiTheme="minorHAnsi" w:cstheme="minorBidi" w:hAnsiTheme="minorHAnsi"/>
                <w:color w:val="auto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>upraszcza wyrażenia, w których występują pierwiastki w trudniejszych przypadkach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 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DZIAŁ 2. TWIERDZENIE PITAGORASA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2.1.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Twierdzenie Pitagorasa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nazywa boki trójkąta prostokątnego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poprawnie zapisuje tezę twierdzenia Pitagorasa w konkretnych sytuacjach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*oblicza długość jednego z boków trójkąta prostokątnego, gdy dane są długości pozostałych boków trójkąta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długość odcinka umieszczonego na kratce jednostkowej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długość wysokości trójkąta równoramiennego z zastosowaniem twierdzenia Pitagorasa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Theme="minorHAnsi" w:hAnsiTheme="minorHAnsi" w:ascii="Calibri" w:hAnsi="Calibri"/>
                <w:color w:val="auto"/>
              </w:rPr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dowodzi twierdzenie Pitagorasa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cs="AgendaPl RegularCondensed" w:asciiTheme="minorHAnsi" w:hAnsiTheme="minorHAnsi"/>
                <w:b/>
                <w:b/>
                <w:color w:val="000000"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2.2.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 xml:space="preserve">Przekątna kwadratu. Trójkąty o kątach </w:t>
            </w:r>
            <w:r>
              <w:rPr/>
              <w:object>
                <v:shape id="ole_rId2" style="width:20.25pt;height:13.5pt" o:ole="">
                  <v:imagedata r:id="rId3" o:title=""/>
                </v:shape>
                <o:OLEObject Type="Embed" ProgID="Equation.DSMT4" ShapeID="ole_rId2" DrawAspect="Content" ObjectID="_1866451208" r:id="rId2"/>
              </w:objec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 xml:space="preserve">, </w:t>
            </w:r>
            <w:r>
              <w:rPr/>
              <w:object>
                <v:shape id="ole_rId4" style="width:20.25pt;height:13.5pt" o:ole="">
                  <v:imagedata r:id="rId5" o:title=""/>
                </v:shape>
                <o:OLEObject Type="Embed" ProgID="Equation.DSMT4" ShapeID="ole_rId4" DrawAspect="Content" ObjectID="_1265206820" r:id="rId4"/>
              </w:objec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 xml:space="preserve">, </w:t>
            </w:r>
            <w:r>
              <w:rPr/>
              <w:object>
                <v:shape id="ole_rId6" style="width:20.25pt;height:13.5pt" o:ole="">
                  <v:imagedata r:id="rId7" o:title=""/>
                </v:shape>
                <o:OLEObject Type="Embed" ProgID="Equation.DSMT4" ShapeID="ole_rId6" DrawAspect="Content" ObjectID="_1890459420" r:id="rId6"/>
              </w:objec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zna wzór na długość przekątnej kwadratu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oblicza długość przekątnej kwadratu, gdy dana jest długość jego boku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cs="" w:asciiTheme="minorHAnsi" w:cstheme="minorBid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zapisuje zależności między długościami boków w trójkącie o kątach </w:t>
            </w:r>
            <w:r>
              <w:rPr/>
              <w:object>
                <v:shape id="ole_rId8" style="width:20.25pt;height:13.5pt" o:ole="">
                  <v:imagedata r:id="rId9" o:title=""/>
                </v:shape>
                <o:OLEObject Type="Embed" ProgID="Equation.DSMT4" ShapeID="ole_rId8" DrawAspect="Content" ObjectID="_939833708" r:id="rId8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10" style="width:20.25pt;height:13.5pt" o:ole="">
                  <v:imagedata r:id="rId11" o:title=""/>
                </v:shape>
                <o:OLEObject Type="Embed" ProgID="Equation.DSMT4" ShapeID="ole_rId10" DrawAspect="Content" ObjectID="_687340898" r:id="rId10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12" style="width:20.25pt;height:13.5pt" o:ole="">
                  <v:imagedata r:id="rId13" o:title=""/>
                </v:shape>
                <o:OLEObject Type="Embed" ProgID="Equation.DSMT4" ShapeID="ole_rId12" DrawAspect="Content" ObjectID="_230371060" r:id="rId12"/>
              </w:objec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długość boku kwadratu, gdy dana jest długość jego przekątnej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stosuje zależności między długościami boków w trójkącie o kątach </w:t>
            </w:r>
            <w:r>
              <w:rPr/>
              <w:object>
                <v:shape id="ole_rId14" style="width:20.25pt;height:13.5pt" o:ole="">
                  <v:imagedata r:id="rId15" o:title=""/>
                </v:shape>
                <o:OLEObject Type="Embed" ProgID="Equation.DSMT4" ShapeID="ole_rId14" DrawAspect="Content" ObjectID="_2088737751" r:id="rId14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16" style="width:20.25pt;height:13.5pt" o:ole="">
                  <v:imagedata r:id="rId17" o:title=""/>
                </v:shape>
                <o:OLEObject Type="Embed" ProgID="Equation.DSMT4" ShapeID="ole_rId16" DrawAspect="Content" ObjectID="_1743649565" r:id="rId16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18" style="width:20.25pt;height:13.5pt" o:ole="">
                  <v:imagedata r:id="rId19" o:title=""/>
                </v:shape>
                <o:OLEObject Type="Embed" ProgID="Equation.DSMT4" ShapeID="ole_rId18" DrawAspect="Content" ObjectID="_1966285283" r:id="rId18"/>
              </w:objec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rozwiązuje zadania tekstowe dotyczące trójkątów o kątach </w:t>
            </w:r>
            <w:r>
              <w:rPr/>
              <w:object>
                <v:shape id="ole_rId20" style="width:20.25pt;height:13.5pt" o:ole="">
                  <v:imagedata r:id="rId21" o:title=""/>
                </v:shape>
                <o:OLEObject Type="Embed" ProgID="Equation.DSMT4" ShapeID="ole_rId20" DrawAspect="Content" ObjectID="_322817297" r:id="rId20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22" style="width:20.25pt;height:13.5pt" o:ole="">
                  <v:imagedata r:id="rId23" o:title=""/>
                </v:shape>
                <o:OLEObject Type="Embed" ProgID="Equation.DSMT4" ShapeID="ole_rId22" DrawAspect="Content" ObjectID="_868682168" r:id="rId22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24" style="width:20.25pt;height:13.5pt" o:ole="">
                  <v:imagedata r:id="rId25" o:title=""/>
                </v:shape>
                <o:OLEObject Type="Embed" ProgID="Equation.DSMT4" ShapeID="ole_rId24" DrawAspect="Content" ObjectID="_1786590407" r:id="rId24"/>
              </w:objec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wyprowadza wzór na przekątną w kwadracie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2.3.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 xml:space="preserve">Wysokość trójkąta równobocznego. Trójkąty o kątach </w:t>
            </w:r>
            <w:r>
              <w:rPr/>
              <w:object>
                <v:shape id="ole_rId26" style="width:20.25pt;height:13.5pt" o:ole="">
                  <v:imagedata r:id="rId27" o:title=""/>
                </v:shape>
                <o:OLEObject Type="Embed" ProgID="Equation.DSMT4" ShapeID="ole_rId26" DrawAspect="Content" ObjectID="_1932878248" r:id="rId26"/>
              </w:objec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 xml:space="preserve">, </w:t>
            </w:r>
            <w:r>
              <w:rPr/>
              <w:object>
                <v:shape id="ole_rId28" style="width:20.25pt;height:13.5pt" o:ole="">
                  <v:imagedata r:id="rId29" o:title=""/>
                </v:shape>
                <o:OLEObject Type="Embed" ProgID="Equation.DSMT4" ShapeID="ole_rId28" DrawAspect="Content" ObjectID="_810663716" r:id="rId28"/>
              </w:objec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,</w:t>
            </w:r>
            <w:r>
              <w:rPr>
                <w:rFonts w:ascii="Calibri" w:hAnsi="Calibri" w:asciiTheme="minorHAnsi" w:hAnsiTheme="minorHAnsi"/>
              </w:rPr>
              <w:t xml:space="preserve"> </w:t>
            </w:r>
            <w:r>
              <w:rPr/>
              <w:object>
                <v:shape id="ole_rId30" style="width:20.25pt;height:13.5pt" o:ole="">
                  <v:imagedata r:id="rId31" o:title=""/>
                </v:shape>
                <o:OLEObject Type="Embed" ProgID="Equation.DSMT4" ShapeID="ole_rId30" DrawAspect="Content" ObjectID="_1229893383" r:id="rId30"/>
              </w:objec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zna wzór na długość wysokości w trójkącie równobocznym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zna wzór na pole trójkąta równobocznego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oblicza długość wysokości trójkąta równobocznego, gdy dana jest długość jego boku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pole trójkąta równobocznego, gdy dana jest długość jego boku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zapisuje zależności między długościami boków w trójkącie o kątach </w:t>
            </w:r>
            <w:r>
              <w:rPr/>
              <w:object>
                <v:shape id="ole_rId32" style="width:20.25pt;height:13.5pt" o:ole="">
                  <v:imagedata r:id="rId33" o:title=""/>
                </v:shape>
                <o:OLEObject Type="Embed" ProgID="Equation.DSMT4" ShapeID="ole_rId32" DrawAspect="Content" ObjectID="_63152339" r:id="rId32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34" style="width:20.25pt;height:13.5pt" o:ole="">
                  <v:imagedata r:id="rId35" o:title=""/>
                </v:shape>
                <o:OLEObject Type="Embed" ProgID="Equation.DSMT4" ShapeID="ole_rId34" DrawAspect="Content" ObjectID="_808903667" r:id="rId34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36" style="width:20.25pt;height:13.5pt" o:ole="">
                  <v:imagedata r:id="rId37" o:title=""/>
                </v:shape>
                <o:OLEObject Type="Embed" ProgID="Equation.DSMT4" ShapeID="ole_rId36" DrawAspect="Content" ObjectID="_1114771183" r:id="rId36"/>
              </w:objec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długość boku trójkąta równobocznego, gdy dana jest długość jego wysokości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długość boku trójkąta równobocznego, gdy dane jest pole tego trójkąta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stosuje zależności między długościami boków w trójkącie o kątach </w:t>
            </w:r>
            <w:r>
              <w:rPr/>
              <w:object>
                <v:shape id="ole_rId38" style="width:20.25pt;height:13.5pt" o:ole="">
                  <v:imagedata r:id="rId39" o:title=""/>
                </v:shape>
                <o:OLEObject Type="Embed" ProgID="Equation.DSMT4" ShapeID="ole_rId38" DrawAspect="Content" ObjectID="_1621156805" r:id="rId38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40" style="width:20.25pt;height:13.5pt" o:ole="">
                  <v:imagedata r:id="rId41" o:title=""/>
                </v:shape>
                <o:OLEObject Type="Embed" ProgID="Equation.DSMT4" ShapeID="ole_rId40" DrawAspect="Content" ObjectID="_857013673" r:id="rId40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42" style="width:20.25pt;height:13.5pt" o:ole="">
                  <v:imagedata r:id="rId43" o:title=""/>
                </v:shape>
                <o:OLEObject Type="Embed" ProgID="Equation.DSMT4" ShapeID="ole_rId42" DrawAspect="Content" ObjectID="_769084561" r:id="rId42"/>
              </w:objec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rozwiązuje zadania tekstowe dotyczące trójkątów o kątach </w:t>
            </w:r>
            <w:r>
              <w:rPr/>
              <w:object>
                <v:shape id="ole_rId44" style="width:20.25pt;height:13.5pt" o:ole="">
                  <v:imagedata r:id="rId45" o:title=""/>
                </v:shape>
                <o:OLEObject Type="Embed" ProgID="Equation.DSMT4" ShapeID="ole_rId44" DrawAspect="Content" ObjectID="_334177782" r:id="rId44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46" style="width:20.25pt;height:13.5pt" o:ole="">
                  <v:imagedata r:id="rId47" o:title=""/>
                </v:shape>
                <o:OLEObject Type="Embed" ProgID="Equation.DSMT4" ShapeID="ole_rId46" DrawAspect="Content" ObjectID="_1255659000" r:id="rId46"/>
              </w:object>
            </w:r>
            <w:r>
              <w:rPr>
                <w:rFonts w:ascii="Calibri" w:hAnsi="Calibri" w:asciiTheme="minorHAnsi" w:hAnsiTheme="minorHAnsi"/>
              </w:rPr>
              <w:t xml:space="preserve">, </w:t>
            </w:r>
            <w:r>
              <w:rPr/>
              <w:object>
                <v:shape id="ole_rId48" style="width:20.25pt;height:13.5pt" o:ole="">
                  <v:imagedata r:id="rId49" o:title=""/>
                </v:shape>
                <o:OLEObject Type="Embed" ProgID="Equation.DSMT4" ShapeID="ole_rId48" DrawAspect="Content" ObjectID="_2012263547" r:id="rId48"/>
              </w:objec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wyprowadza wzory na wysokość trójkąta równobocznego, pole trójkąta równobocznego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2.4.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Zastosowania twierdzenia Pitagorasa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długość odcinka, którego końce są punktami kratowymi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rozwiązuje zadania tekstowe dotyczące zastosowań twierdzenia Pitagorasa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Theme="minorHAnsi" w:hAnsiTheme="minorHAnsi" w:ascii="Calibri" w:hAnsi="Calibri"/>
                <w:color w:val="auto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rozwiązuje zadania tekstowe z zastosowaniem twierdzenia Pitagorasa w sytuacjach praktycznych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Pa3"/>
              <w:spacing w:lineRule="auto" w:line="240" w:before="0" w:after="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cs="AgendaPl BoldCondensed" w:ascii="Calibri" w:hAnsi="Calibri" w:asciiTheme="minorHAnsi" w:hAnsiTheme="minorHAnsi"/>
                <w:b/>
                <w:bCs/>
                <w:color w:val="FFFFFF" w:themeColor="background1"/>
              </w:rPr>
              <w:t>DZIAŁ 3. GRANIASTOSŁUPY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3.1.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Własności graniastosłupów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zna pojęcia: graniastosłup, graniastosłup prosty, graniastosłup prawidłowy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*rozpoznaje graniastosłupy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*nazywa graniastosłupy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*rozpoznaje siatki graniastosłupów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rysuje graniastosłupy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wyznacza sumę długości krawędzi graniastosłupa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wyznacza liczbę krawędzi, wierzchołków i ścian graniastosłupa w zależności od liczby boków wielokąta w podstawie graniastosłupa 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rysuje siatki graniastosłupów prostych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wyznacza liczbę ścian graniastosłupa, gdy dana jest liczba krawędzi lub wierzchołków i odwrotnie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Theme="minorHAnsi" w:hAnsiTheme="minorHAnsi" w:ascii="Calibri" w:hAnsi="Calibri"/>
                <w:color w:val="auto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rozwiązuje zadania z treścią dotyczące graniastosłupów 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3.2.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Pole powierzchni graniastosłupa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zna wzór na pole powierzchni graniastosłupa 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*oblicza pole powierzchni całkowitej i bocznej graniastosłupa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pole powierzchni graniastosłupa z zastosowaniem własności trójkątów prostokątnych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pole powierzchni graniastosłupa z zastosowaniem twierdzenia Pitagorasa w sytuacjach praktycznych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3.3.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Objętość graniastosłupa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zna wzór na objętość graniastosłupa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zamienia jednostki objętości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oblicza objętość graniastosłupa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wyznacza wysokość graniastosłupa, gdy dana jest jego objętość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objętość graniastosłupa z zastosowaniem własności trójkątów prostokątnych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objętość graniastosłupa z zastosowaniem twierdzenia Pitagorasa w sytuacjach praktycznych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3.4. </w:t>
            </w:r>
            <w:r>
              <w:rPr>
                <w:sz w:val="24"/>
                <w:szCs w:val="24"/>
              </w:rPr>
              <w:t>Odcinki i kąty w graniastosłupach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yriadPro-Regular" w:cs="MyriadPro-Regular"/>
                <w:sz w:val="24"/>
                <w:szCs w:val="24"/>
              </w:rPr>
              <w:t>*wskazuje przekątne graniastosłupa oraz przekątne jego ścian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MyriadPro-Regular" w:cs="MyriadPro-Regular"/>
                <w:sz w:val="24"/>
                <w:szCs w:val="24"/>
              </w:rPr>
            </w:pPr>
            <w:r>
              <w:rPr>
                <w:rFonts w:eastAsia="MyriadPro-Regular" w:cs="MyriadPro-Regular"/>
                <w:sz w:val="24"/>
                <w:szCs w:val="24"/>
              </w:rPr>
              <w:t>- wskazuje charakterystyczne kąty w graniastosłupach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yriadPro-Regular" w:cs="MyriadPro-Regular"/>
                <w:sz w:val="24"/>
                <w:szCs w:val="24"/>
              </w:rPr>
              <w:t>- oblicza długości odcinków zawartych w graniastosłupach w prostych sytuacjach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yriadPro-Regular" w:cs="MyriadPro-Regular"/>
                <w:sz w:val="24"/>
                <w:szCs w:val="24"/>
              </w:rPr>
              <w:t>- oblicza długości odcinków zawartych w graniastosłupach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rozwiązuje zadania z treścią dotyczące odcinków w graniastosłupach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Pa3"/>
              <w:tabs>
                <w:tab w:val="clear" w:pos="708"/>
                <w:tab w:val="center" w:pos="6889" w:leader="none"/>
                <w:tab w:val="left" w:pos="841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AgendaPl BoldCondensed" w:ascii="Calibri" w:hAnsi="Calibri" w:asciiTheme="minorHAnsi" w:hAnsiTheme="minorHAnsi"/>
                <w:b/>
                <w:bCs/>
                <w:color w:val="FFFFFF" w:themeColor="background1"/>
              </w:rPr>
              <w:t>DZIAŁ 4. OSTROSŁUPY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4.1.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Własności ostrosłupów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zna pojęcia: ostrosłup, ostrosłup prosty, ostrosłup prawidłowy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rozpoznaje ostrosłupy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*nazywa ostrosłupy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*rozpoznaje siatki ostrosłupów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rysuje ostrosłupy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wyznacza sumę długości krawędzi ostrosłupa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wyznacza liczbę krawędzi, wierzchołków i ścian ostrosłupa w zależności od liczby boków wielokąta w podstawie ostrosłupa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wie, co to jest spodek wysokości i gdzie się znajduje w zależności od wielokąta będącego podstawą tego ostrosłupa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rysuje siatki ostrosłupów prostych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wyznacza liczbę ścian ostrosłupa, gdy dana jest liczba krawędzi lub wierzchołków i odwrotnie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Theme="minorHAnsi" w:hAnsiTheme="minorHAnsi" w:ascii="Calibri" w:hAnsi="Calibri"/>
                <w:color w:val="auto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z wykorzystaniem twierdzenia Pitagorasa długości odcin</w:t>
              <w:softHyphen/>
              <w:t xml:space="preserve">ków (np. krawędzi, wysokości ścian bocznych) w ostrosłupach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rozwiązuje zadania z treścią dotyczące ostrosłupów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4.2.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Pole powierzchni ostrosłupa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zna wzór na pole powierzchni ostrosłupa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oblicza pole powierzchni ostrosłupa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pole powierzchni ostrosłupa z zastosowaniem własności trójkątów prostokątnych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pole powierzchni ostrosłupa z zastosowaniem twierdzenia Pitagorasa w sytuacjach praktycznych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4.3.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Objętość ostrosłupa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zna wzór na objętość ostrosłupa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*oblicza objętość ostrosłupa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wyznacza wysokość ostrosłupa, gdy dana jest jego objętość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objętość ostrosłupa z zastosowaniem własności trójkątów prostokątnych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objętość  ostrosłupa z zastosowaniem twierdzenia Pitagorasa w sytuacjach praktycznych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4.4. </w:t>
            </w:r>
            <w:r>
              <w:rPr>
                <w:sz w:val="24"/>
                <w:szCs w:val="24"/>
              </w:rPr>
              <w:t>Odcinki i kąty w ostrosłupach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NewRomanPSMT" w:cs="TimesNewRomanPSMT"/>
                <w:sz w:val="24"/>
                <w:szCs w:val="24"/>
              </w:rPr>
              <w:t>*</w:t>
            </w:r>
            <w:r>
              <w:rPr>
                <w:rFonts w:eastAsia="MyriadPro-Regular" w:cs="MyriadPro-Regular"/>
                <w:sz w:val="24"/>
                <w:szCs w:val="24"/>
              </w:rPr>
              <w:t xml:space="preserve"> wskazuje charakterystyczne kąty w ostrosłupach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MyriadPro-Regular" w:cs="MyriadPro-Regular"/>
                <w:sz w:val="24"/>
                <w:szCs w:val="24"/>
              </w:rPr>
              <w:t>- oblicza długości odcinków zawartych w ostrosłupach w prostych sytuacjach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MyriadPro-Regular" w:cs="MyriadPro-Regular"/>
                <w:sz w:val="24"/>
                <w:szCs w:val="24"/>
              </w:rPr>
            </w:pPr>
            <w:r>
              <w:rPr>
                <w:rFonts w:eastAsia="MyriadPro-Regular" w:cs="MyriadPro-Regular"/>
                <w:sz w:val="24"/>
                <w:szCs w:val="24"/>
              </w:rPr>
              <w:t>- oblicza długości odcinków zawartych w ostrosłupach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rozwiązuje zadania z treścią dotyczące odcinków w ostrosłupach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Pa3"/>
              <w:spacing w:lineRule="auto" w:line="240" w:before="0" w:after="0"/>
              <w:jc w:val="center"/>
              <w:rPr/>
            </w:pPr>
            <w:r>
              <w:rPr>
                <w:rFonts w:cs="AgendaPl BoldCondensed" w:ascii="Calibri" w:hAnsi="Calibri" w:asciiTheme="minorHAnsi" w:hAnsiTheme="minorHAnsi"/>
                <w:b/>
                <w:bCs/>
                <w:color w:val="FFFFFF" w:themeColor="background1"/>
              </w:rPr>
              <w:t>DZIAŁ 5. STATYSTYKA I RACHUNEK PRAWDOPODOBIEŃSTWA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5.1.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Statystyka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zna pojęcie średniej arytmetycznej kilku liczb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odczytuje informacje z tabel, diagramów słupkowych i kołowych, wykresów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*oblicza średnią arytmetyczną kilku liczb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sporządza diagramy słupkowe oraz wykresy dla podanych danych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cs="" w:ascii="Calibri" w:hAnsi="Calibri" w:asciiTheme="minorHAnsi" w:cstheme="minorBidi" w:hAnsiTheme="minorHAnsi"/>
                <w:color w:val="auto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rozwiązuje zadania tekstowe dotyczące średniej arytmetycznej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interpretuje informacje prezentowane za pomocą tabel, diagra</w:t>
              <w:softHyphen/>
              <w:t xml:space="preserve">mów, wykresów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b/>
                <w:b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prezentuje dane statystyczne za pomocą diagramów słupkowych i kołowych oraz wykresów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cs="" w:ascii="Calibri" w:hAnsi="Calibri" w:asciiTheme="minorHAnsi" w:cstheme="minorBidi" w:hAnsiTheme="minorHAnsi"/>
                <w:color w:val="auto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>rozwiązuje  zadania tekstowe dotyczące średniej arytmetycznej w trudniejszych przypadkach</w:t>
            </w:r>
          </w:p>
          <w:p>
            <w:pPr>
              <w:pStyle w:val="Default"/>
              <w:spacing w:lineRule="auto" w:line="240" w:before="0" w:after="0"/>
              <w:rPr>
                <w:b/>
                <w:b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przeprowadza badanie, następnie opracowuje i prezentuje wyniki przy użyciu komputera oraz wyciąga wnioski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AgendaPl-RegularCondensed"/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o podwyższonym stopniu trudności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5.2. </w:t>
            </w:r>
            <w:r>
              <w:rPr>
                <w:rFonts w:eastAsia="Calibri" w:cs="Times New Roman" w:ascii="Calibri" w:hAnsi="Calibri" w:asciiTheme="minorHAnsi" w:hAnsiTheme="minorHAnsi"/>
              </w:rPr>
              <w:t>Wprowadzenie do kombinatoryki i rachunku prawdopodobieństwa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zlicza elementy w danym zbiorze oraz oblicza, ile z nich ma daną własność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zna pojęcie zdarzenia losowego i zdarzenia sprzyjającego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podaje zdarzenia losowe w danym doświadczeniu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wskazuje zdarzenia mniej lub bardziej prawdopodobne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przeprowadza proste doświadczenia losowe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oblicza prawdopodobieństwo zdarzenia losowego w prostych przypadkach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prawdopodobieństwo zdarzenia losowego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zna i rozumie pojęcia: zdarzenie pewne, zdarzenie niemożliwe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Pa3"/>
              <w:spacing w:lineRule="auto" w:line="240" w:before="0" w:after="0"/>
              <w:jc w:val="center"/>
              <w:rPr>
                <w:color w:val="FFFFFF" w:themeColor="background1"/>
              </w:rPr>
            </w:pPr>
            <w:r>
              <w:rPr>
                <w:rFonts w:cs="AgendaPl BoldCondensed" w:ascii="Calibri" w:hAnsi="Calibri" w:asciiTheme="minorHAnsi" w:hAnsiTheme="minorHAnsi"/>
                <w:b/>
                <w:bCs/>
                <w:color w:val="FFFFFF" w:themeColor="background1"/>
              </w:rPr>
              <w:t>DZIAŁ 6. POWTÓRZENIE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DZIAŁ 7. KOŁO I OKRĄG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7.1.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 xml:space="preserve">Liczba </w:t>
            </w:r>
            <w:r>
              <w:rPr>
                <w:rStyle w:val="A11"/>
                <w:rFonts w:ascii="Calibri" w:hAnsi="Calibri" w:asciiTheme="minorHAnsi" w:hAnsiTheme="minorHAnsi"/>
                <w:sz w:val="24"/>
                <w:szCs w:val="24"/>
              </w:rPr>
              <w:t>π</w:t>
            </w:r>
            <w:r>
              <w:rPr>
                <w:rStyle w:val="A11"/>
                <w:rFonts w:ascii="Calibri" w:hAnsi="Calibri"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*zna przybliżenia liczby </w:t>
            </w:r>
            <w:r>
              <w:rPr>
                <w:rStyle w:val="A11"/>
                <w:rFonts w:ascii="Calibri" w:hAnsi="Calibri" w:asciiTheme="minorHAnsi" w:hAnsiTheme="minorHAnsi"/>
                <w:color w:val="auto"/>
                <w:sz w:val="24"/>
                <w:szCs w:val="24"/>
              </w:rPr>
              <w:t>π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Theme="minorHAnsi" w:hAnsiTheme="minorHAnsi" w:ascii="Calibri" w:hAnsi="Calibri"/>
                <w:color w:val="auto"/>
              </w:rPr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7.2.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Długość okręgu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cs="" w:ascii="Calibri" w:hAnsi="Calibri" w:asciiTheme="minorHAnsi" w:cstheme="minorBidi" w:hAnsiTheme="minorHAnsi"/>
                <w:color w:val="auto"/>
              </w:rPr>
              <w:t xml:space="preserve">*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zna wzór na długość okręgu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*oblicza długość okręgu, gdy dany jest jego promień lub średnica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promień i średnicę okręgu, gdy dana jest jego długość 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Theme="minorHAnsi" w:hAnsiTheme="minorHAnsi" w:ascii="Calibri" w:hAnsi="Calibri"/>
                <w:color w:val="auto"/>
              </w:rPr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rozwiązuje zadania tekstowe dotyczące okręgów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7.3.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Pole koła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zna wzór na pole koła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oblicza pole koła, gdy dany jest jego promień lub średnica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wie, co to jest pierścień kołowy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promień i średnicę koła, gdy dane jest jego pole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oblicza pole pierścienia kołowego o danych promieniach lub średnicach okręgów tworzących pierścień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cs="" w:ascii="Calibri" w:hAnsi="Calibri" w:asciiTheme="minorHAnsi" w:cstheme="minorBidi" w:hAnsiTheme="minorHAnsi"/>
                <w:color w:val="auto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>oblicza obwód koła, gdy dane jest jego pole i odwrotnie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rozwiązuje zadania tekstowe dotyczące kół i pierścieni kołowych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Pa3"/>
              <w:spacing w:lineRule="auto" w:line="240" w:before="0" w:after="0"/>
              <w:jc w:val="center"/>
              <w:rPr/>
            </w:pPr>
            <w:r>
              <w:rPr>
                <w:rFonts w:cs="AgendaPl BoldCondensed" w:ascii="Calibri" w:hAnsi="Calibri" w:asciiTheme="minorHAnsi" w:hAnsiTheme="minorHAnsi"/>
                <w:b/>
                <w:bCs/>
                <w:color w:val="FFFFFF" w:themeColor="background1"/>
              </w:rPr>
              <w:t>DZIAŁ 8. KOMBINATORYKA I RACHUNEK PRAWDOPODOBIEŃSTWA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8.1.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Kombinatoryka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zlicza pary elementów mające daną własność w prostych przypadkach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stosuje regułę mnożenia do zliczania par elementów mających daną własność w prostych przypadkach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stosuje regułę mnożenia i dodawania do zliczania par elementów mających daną własność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stosuje regułę mnożenia i dodawania do zliczania par elementów mających daną własność </w:t>
            </w:r>
            <w:r>
              <w:rPr>
                <w:rFonts w:eastAsia="Calibri" w:cs="Times New Roman" w:ascii="Calibri" w:hAnsi="Calibri" w:asciiTheme="minorHAnsi" w:hAnsiTheme="minorHAnsi"/>
                <w:color w:val="auto"/>
              </w:rPr>
              <w:t>w sytuacjach wymagających rozważenia kilku przypadków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8.2.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Rachunek prawdopodobieństwa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prawdopodobieństwo zdarzenia w przypadku np. rzutu dwiema monetami 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prawdopodobieństwo zdarzenia w przypadku np. rzutu dwiema kostkami 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oblicza prawdopodobieństwo zdarzenia w przypadku losowania dwóch elementów ze zwracaniem lub bez zwracania w prostych przypadkach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oblicza prawdopodobieństwo zdarzenia w przypadku losowaniu dwóch elementów ze zwracaniem lub bez zwracania 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4157" w:type="dxa"/>
            <w:gridSpan w:val="7"/>
            <w:tcBorders/>
            <w:shd w:color="auto" w:fill="9CC2E5" w:themeFill="accent1" w:themeFillTint="99" w:val="clear"/>
          </w:tcPr>
          <w:p>
            <w:pPr>
              <w:pStyle w:val="Pa3"/>
              <w:spacing w:lineRule="auto" w:line="240" w:before="0" w:after="0"/>
              <w:jc w:val="center"/>
              <w:rPr/>
            </w:pPr>
            <w:r>
              <w:rPr>
                <w:rFonts w:cs="AgendaPl BoldCondensed" w:ascii="Calibri" w:hAnsi="Calibri" w:asciiTheme="minorHAnsi" w:hAnsiTheme="minorHAnsi"/>
                <w:b/>
                <w:bCs/>
                <w:color w:val="FFFFFF" w:themeColor="background1"/>
              </w:rPr>
              <w:t>DZIAŁ 9. SYMETRIE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9.1.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Symetria osiowa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rozpoznaje punkty symetryczne względem prostej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*rozpoznaje pary figur symetrycznych względem prostej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>*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rysuje punkty symetryczne względem prostej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* </w:t>
            </w:r>
            <w:r>
              <w:rPr>
                <w:rFonts w:ascii="Calibri" w:hAnsi="Calibri" w:asciiTheme="minorHAnsi" w:hAnsiTheme="minorHAnsi"/>
                <w:color w:val="auto"/>
              </w:rPr>
              <w:t>wskazuje osie symetrii figury w prostych przykładach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*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wyznacza współrzędne punktów symetrycznych względem osi </w:t>
            </w:r>
            <w:r>
              <w:rPr>
                <w:rFonts w:cs="AgendaPl RegularItalic" w:ascii="Calibri" w:hAnsi="Calibri" w:asciiTheme="minorHAnsi" w:hAnsiTheme="minorHAnsi"/>
                <w:i/>
                <w:iCs/>
                <w:color w:val="auto"/>
              </w:rPr>
              <w:t xml:space="preserve">x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i </w:t>
            </w:r>
            <w:r>
              <w:rPr>
                <w:rFonts w:cs="AgendaPl RegularItalic" w:ascii="Calibri" w:hAnsi="Calibri" w:asciiTheme="minorHAnsi" w:hAnsiTheme="minorHAnsi"/>
                <w:i/>
                <w:iCs/>
                <w:color w:val="auto"/>
              </w:rPr>
              <w:t xml:space="preserve">y </w:t>
            </w:r>
            <w:r>
              <w:rPr>
                <w:rFonts w:ascii="Calibri" w:hAnsi="Calibri" w:asciiTheme="minorHAnsi" w:hAnsiTheme="minorHAnsi"/>
                <w:color w:val="auto"/>
              </w:rPr>
              <w:t>układu współrzędnych w prostych przykładach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podaje własności punktów symetrycznych względem prostej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rysuje figury symetryczne względem prostej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Style w:val="A10"/>
                <w:rFonts w:ascii="Calibri" w:hAnsi="Calibri" w:asciiTheme="minorHAnsi" w:hAnsiTheme="minorHAnsi"/>
                <w:color w:val="auto"/>
                <w:sz w:val="24"/>
                <w:szCs w:val="24"/>
              </w:rPr>
              <w:t xml:space="preserve">- </w:t>
            </w:r>
            <w:r>
              <w:rPr>
                <w:rFonts w:ascii="Calibri" w:hAnsi="Calibri" w:asciiTheme="minorHAnsi" w:hAnsiTheme="minorHAnsi"/>
                <w:color w:val="auto"/>
              </w:rPr>
              <w:t xml:space="preserve">rozpoznaje figury osiowosymetryczne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Style w:val="A10"/>
                <w:color w:val="auto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wskazuje osie symetrii figury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Style w:val="A10"/>
                <w:color w:val="auto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wyznacza współrzędne punktów symetrycznych względem osi </w:t>
            </w:r>
            <w:r>
              <w:rPr>
                <w:rFonts w:cs="AgendaPl RegularItalic"/>
                <w:i/>
                <w:iCs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rFonts w:cs="AgendaPl RegularItalic"/>
                <w:i/>
                <w:iCs/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>układu współrzędnych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znajduje prostą, względem której figury są symetryczne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podaje przykłady figur, które mają więcej niż jedną oś symetrii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podaje liczbę osi symetrii </w:t>
            </w:r>
            <w:r>
              <w:rPr>
                <w:rFonts w:cs="AgendaPl RegularItalic" w:ascii="Calibri" w:hAnsi="Calibri" w:asciiTheme="minorHAnsi" w:hAnsiTheme="minorHAnsi"/>
                <w:i/>
                <w:iCs/>
                <w:color w:val="auto"/>
              </w:rPr>
              <w:t>n</w:t>
            </w:r>
            <w:r>
              <w:rPr>
                <w:rFonts w:ascii="Calibri" w:hAnsi="Calibri" w:asciiTheme="minorHAnsi" w:hAnsiTheme="minorHAnsi"/>
                <w:color w:val="auto"/>
              </w:rPr>
              <w:t>-kąta foremnego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wyznacza współrzędne wierzchołków trójkątów i czworokątów, które są osiowosymetryczne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9.2.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Symetria środkowa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* rozpoznaje punkty symetryczne względem punktu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 rozpoznaje pary figur symetrycznych względem punktu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*rysuje punkty symetryczne względem punktu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wskazuje środek symetrii figury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wyznacza współrzędne punktu symetrycznego względem początku układu współrzędnych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/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podaje własności punktów symetrycznych względem punktu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rysuje figury symetryczne względem punktu 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rozpoznaje figury środkowosymetryczne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znajduje punkt, względem którego figury są symetryczne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podaje przykłady figur, które mają więcej niż jeden środek symetrii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rozpoznaje </w:t>
            </w:r>
            <w:r>
              <w:rPr>
                <w:rFonts w:cs="AgendaPl RegularItalic" w:ascii="Calibri" w:hAnsi="Calibri" w:asciiTheme="minorHAnsi" w:hAnsiTheme="minorHAnsi"/>
                <w:i/>
                <w:iCs/>
                <w:color w:val="auto"/>
              </w:rPr>
              <w:t>n</w:t>
            </w:r>
            <w:r>
              <w:rPr>
                <w:rFonts w:ascii="Calibri" w:hAnsi="Calibri" w:asciiTheme="minorHAnsi" w:hAnsiTheme="minorHAnsi"/>
                <w:color w:val="auto"/>
              </w:rPr>
              <w:t>-kąty foremne mające środek symetrii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wyznacza współrzędne wierzchołków czworokątów, które są środkowosymetryczne 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2357" w:type="dxa"/>
            <w:tcBorders/>
            <w:shd w:fill="auto" w:val="clear"/>
          </w:tcPr>
          <w:p>
            <w:pPr>
              <w:pStyle w:val="Pa13"/>
              <w:spacing w:lineRule="auto" w:line="240" w:before="0" w:after="0"/>
              <w:rPr>
                <w:b/>
                <w:b/>
              </w:rPr>
            </w:pPr>
            <w:r>
              <w:rPr>
                <w:rFonts w:cs="AgendaPl RegularCondensed" w:ascii="Calibri" w:hAnsi="Calibri" w:asciiTheme="minorHAnsi" w:hAnsiTheme="minorHAnsi"/>
                <w:b/>
                <w:color w:val="000000"/>
              </w:rPr>
              <w:t xml:space="preserve">9.3. </w:t>
            </w:r>
            <w:r>
              <w:rPr>
                <w:rFonts w:cs="AgendaPl RegularCondensed" w:ascii="Calibri" w:hAnsi="Calibri" w:asciiTheme="minorHAnsi" w:hAnsiTheme="minorHAnsi"/>
                <w:color w:val="000000"/>
              </w:rPr>
              <w:t>Symetralna odcinka i dwusieczna kąta</w:t>
            </w:r>
          </w:p>
        </w:tc>
        <w:tc>
          <w:tcPr>
            <w:tcW w:w="2368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 xml:space="preserve">- zna pojęcie symetralnej odcinka </w:t>
            </w:r>
          </w:p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zna pojęcie dwusiecznej kąta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konstruuje symetralną odcinka</w:t>
            </w:r>
          </w:p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konstruuje dwusieczną kąta</w:t>
            </w:r>
          </w:p>
        </w:tc>
        <w:tc>
          <w:tcPr>
            <w:tcW w:w="2368" w:type="dxa"/>
            <w:gridSpan w:val="2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>
                <w:rFonts w:ascii="Calibri" w:hAnsi="Calibri" w:asciiTheme="minorHAnsi" w:hAnsiTheme="minorHAnsi"/>
                <w:color w:val="auto"/>
              </w:rPr>
            </w:pPr>
            <w:r>
              <w:rPr>
                <w:rFonts w:ascii="Calibri" w:hAnsi="Calibri" w:asciiTheme="minorHAnsi" w:hAnsiTheme="minorHAnsi"/>
                <w:color w:val="auto"/>
              </w:rPr>
              <w:t>- zna i stosuje własności symetralnej odcinka i dwusiecznej kąta w zadaniach z treścią</w:t>
            </w:r>
          </w:p>
        </w:tc>
        <w:tc>
          <w:tcPr>
            <w:tcW w:w="2409" w:type="dxa"/>
            <w:tcBorders/>
            <w:shd w:fill="auto" w:val="clear"/>
          </w:tcPr>
          <w:p>
            <w:pPr>
              <w:pStyle w:val="Default"/>
              <w:spacing w:lineRule="auto" w:line="240" w:before="0" w:after="0"/>
              <w:rPr/>
            </w:pPr>
            <w:r>
              <w:rPr>
                <w:rFonts w:ascii="Calibri" w:hAnsi="Calibri" w:asciiTheme="minorHAnsi" w:hAnsiTheme="minorHAnsi"/>
                <w:color w:val="auto"/>
              </w:rPr>
              <w:t>- przeprowadza dowody z zastosowaniem własności symetralnej odcinka i dwusiecznej kąta</w:t>
            </w:r>
          </w:p>
        </w:tc>
        <w:tc>
          <w:tcPr>
            <w:tcW w:w="2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gendaPl-RegularCondensed"/>
                <w:sz w:val="24"/>
                <w:szCs w:val="24"/>
              </w:rPr>
              <w:t>- rozwiązuje zadania o podwyższonym stopniu trudności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* </w:t>
      </w:r>
      <w:r>
        <w:rPr/>
        <w:t>wymagania dla ucznia ze specjalnymi potrzebami edukacyjnymi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Małgorzata Zawilińska</w:t>
      </w:r>
    </w:p>
    <w:sectPr>
      <w:headerReference w:type="default" r:id="rId50"/>
      <w:footerReference w:type="default" r:id="rId51"/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Myriad Pro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gendaPl RegularCondensed">
    <w:charset w:val="ee"/>
    <w:family w:val="roman"/>
    <w:pitch w:val="variable"/>
  </w:font>
  <w:font w:name="AgendaPl BoldCondensed">
    <w:charset w:val="ee"/>
    <w:family w:val="roman"/>
    <w:pitch w:val="variable"/>
  </w:font>
  <w:font w:name="AgendaPl-Bol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47628095"/>
    </w:sdtPr>
    <w:sdtContent>
      <w:p>
        <w:pPr>
          <w:pStyle w:val="Stopka"/>
          <w:tabs>
            <w:tab w:val="clear" w:pos="9072"/>
            <w:tab w:val="center" w:pos="4536" w:leader="none"/>
            <w:tab w:val="right" w:pos="9639" w:leader="none"/>
          </w:tabs>
          <w:spacing w:before="120" w:after="0"/>
          <w:ind w:left="-567" w:hanging="0"/>
          <w:rPr/>
        </w:pPr>
        <w:r>
          <mc:AlternateContent>
            <mc:Choice Requires="wps">
              <w:drawing>
                <wp:anchor behindDoc="1" distT="0" distB="0" distL="0" distR="0" simplePos="0" locked="0" layoutInCell="1" allowOverlap="1" relativeHeight="53" wp14:anchorId="6DCB470B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-17145</wp:posOffset>
                  </wp:positionV>
                  <wp:extent cx="9545955" cy="635"/>
                  <wp:effectExtent l="0" t="0" r="17780" b="19050"/>
                  <wp:wrapNone/>
                  <wp:docPr id="3" name="Łącznik prostoliniowy 3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545400" cy="0"/>
                          </a:xfrm>
                          <a:prstGeom prst="line">
                            <a:avLst/>
                          </a:prstGeom>
                          <a:ln w="19080">
                            <a:solidFill>
                              <a:srgbClr val="f0912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29.9pt,-1.35pt" to="721.65pt,-1.35pt" ID="Łącznik prostoliniowy 3" stroked="t" style="position:absolute" wp14:anchorId="6DCB470B">
                  <v:stroke color="#f09120" weight="19080" joinstyle="miter" endcap="flat"/>
                  <v:fill o:detectmouseclick="t" on="false"/>
                </v:line>
              </w:pict>
            </mc:Fallback>
          </mc:AlternateContent>
        </w:r>
        <w:r>
          <w:rPr>
            <w:b/>
            <w:color w:val="003892"/>
          </w:rPr>
          <w:t>AUTORZY:</w:t>
        </w:r>
        <w:r>
          <w:rPr>
            <w:color w:val="003892"/>
          </w:rPr>
          <w:t xml:space="preserve"> </w:t>
        </w:r>
        <w:r>
          <w:rPr/>
          <w:t>Adam Makowski, Tomasz Masłowski, Anna Toruńska</w:t>
          <w:tab/>
          <w:tab/>
          <w:tab/>
          <w:tab/>
          <w:tab/>
          <w:t>Wymagania na oceny</w:t>
        </w:r>
      </w:p>
      <w:p>
        <w:pPr>
          <w:pStyle w:val="Stopka"/>
          <w:ind w:left="-567" w:hanging="0"/>
          <w:rPr/>
        </w:pPr>
        <w:r>
          <w:rPr/>
          <mc:AlternateContent>
            <mc:Choice Requires="wps">
              <w:drawing>
                <wp:anchor behindDoc="1" distT="0" distB="0" distL="0" distR="0" simplePos="0" locked="0" layoutInCell="1" allowOverlap="1" relativeHeight="14" wp14:anchorId="5CA907EE">
                  <wp:simplePos x="0" y="0"/>
                  <wp:positionH relativeFrom="column">
                    <wp:posOffset>-379730</wp:posOffset>
                  </wp:positionH>
                  <wp:positionV relativeFrom="paragraph">
                    <wp:posOffset>97790</wp:posOffset>
                  </wp:positionV>
                  <wp:extent cx="9545955" cy="1270"/>
                  <wp:effectExtent l="0" t="0" r="17780" b="19050"/>
                  <wp:wrapNone/>
                  <wp:docPr id="4" name="Łącznik prostoliniowy 5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545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hape_0" from="-29.9pt,7.7pt" to="721.65pt,7.7pt" ID="Łącznik prostoliniowy 5" stroked="t" style="position:absolute" wp14:anchorId="5CA907EE">
                  <v:stroke color="black" weight="6480" joinstyle="miter" endcap="flat"/>
                  <v:fill o:detectmouseclick="t" on="false"/>
                </v:line>
              </w:pict>
            </mc:Fallback>
          </mc:AlternateContent>
        </w:r>
      </w:p>
      <w:p>
        <w:pPr>
          <w:pStyle w:val="Stopka"/>
          <w:ind w:left="-1417" w:hanging="0"/>
          <w:rPr/>
        </w:pPr>
        <w:r>
          <w:rPr/>
          <w:drawing>
            <wp:inline distT="0" distB="0" distL="0" distR="0">
              <wp:extent cx="1552575" cy="295910"/>
              <wp:effectExtent l="0" t="0" r="0" b="0"/>
              <wp:docPr id="5" name="Obraz 6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6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-8903" t="1274" r="84970" b="-1827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295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/>
          <w:tab/>
          <w:tab/>
          <w:tab/>
          <w:t xml:space="preserve">   </w:t>
          <w:tab/>
        </w:r>
        <w:r>
          <w:rPr/>
          <w:drawing>
            <wp:inline distT="0" distB="0" distL="0" distR="0">
              <wp:extent cx="2585720" cy="262890"/>
              <wp:effectExtent l="0" t="0" r="0" b="0"/>
              <wp:docPr id="6" name="Obraz 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1629863" t="0" r="0" b="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85720" cy="262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drawing>
        <wp:anchor behindDoc="1" distT="0" distB="0" distL="0" distR="0" simplePos="0" locked="0" layoutInCell="1" allowOverlap="1" relativeHeight="27">
          <wp:simplePos x="0" y="0"/>
          <wp:positionH relativeFrom="column">
            <wp:posOffset>-1002030</wp:posOffset>
          </wp:positionH>
          <wp:positionV relativeFrom="paragraph">
            <wp:posOffset>-493395</wp:posOffset>
          </wp:positionV>
          <wp:extent cx="7591425" cy="954405"/>
          <wp:effectExtent l="0" t="0" r="0" b="0"/>
          <wp:wrapNone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0">
          <wp:simplePos x="0" y="0"/>
          <wp:positionH relativeFrom="column">
            <wp:posOffset>4834890</wp:posOffset>
          </wp:positionH>
          <wp:positionV relativeFrom="paragraph">
            <wp:posOffset>-494030</wp:posOffset>
          </wp:positionV>
          <wp:extent cx="3991610" cy="954405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757" t="0" r="24667" b="0"/>
                  <a:stretch>
                    <a:fillRect/>
                  </a:stretch>
                </pic:blipFill>
                <pic:spPr bwMode="auto">
                  <a:xfrm>
                    <a:off x="0" y="0"/>
                    <a:ext cx="3991610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F09120"/>
      </w:rPr>
      <w:t>M</w:t>
    </w:r>
    <w:r>
      <w:rPr>
        <w:b/>
        <w:color w:val="F09120"/>
      </w:rPr>
      <w:t>atematyka</w:t>
    </w:r>
    <w:r>
      <w:rPr>
        <w:color w:val="F09120"/>
      </w:rPr>
      <w:t xml:space="preserve"> </w:t>
    </w:r>
    <w:r>
      <w:rPr/>
      <w:t>| Klasa 8</w:t>
      <w:tab/>
      <w:tab/>
      <w:tab/>
      <w:tab/>
      <w:tab/>
      <w:tab/>
      <w:tab/>
    </w:r>
    <w:r>
      <w:rPr>
        <w:i/>
      </w:rPr>
      <w:t>Szkoła podstawowa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gendaPl-Bold" w:hAnsi="AgendaPl-Bold" w:cs="AgendaPl-Bold" w:hint="default"/>
        <w:sz w:val="24"/>
        <w:b/>
        <w:rFonts w:cs="AgendaPl-Bold"/>
        <w:color w:val="1F4E7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10" w:customStyle="1">
    <w:name w:val="A10"/>
    <w:uiPriority w:val="99"/>
    <w:qFormat/>
    <w:rsid w:val="00c66105"/>
    <w:rPr>
      <w:rFonts w:cs="AgendaPl RegularCondensed"/>
      <w:color w:val="000000"/>
      <w:sz w:val="18"/>
      <w:szCs w:val="18"/>
    </w:rPr>
  </w:style>
  <w:style w:type="character" w:styleId="A11" w:customStyle="1">
    <w:name w:val="A11"/>
    <w:uiPriority w:val="99"/>
    <w:qFormat/>
    <w:rsid w:val="00da6095"/>
    <w:rPr>
      <w:rFonts w:ascii="Myriad Pro" w:hAnsi="Myriad Pro" w:cs="Myriad Pro"/>
      <w:color w:val="000000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35ee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35ee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35eee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1dc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a1dc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a1dc1"/>
    <w:rPr>
      <w:b/>
      <w:bCs/>
      <w:sz w:val="20"/>
      <w:szCs w:val="20"/>
    </w:rPr>
  </w:style>
  <w:style w:type="character" w:styleId="ListLabel1">
    <w:name w:val="ListLabel 1"/>
    <w:qFormat/>
    <w:rPr>
      <w:rFonts w:eastAsia="Calibri" w:cs="AgendaPl-Bold"/>
      <w:b/>
      <w:color w:val="0033FF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AgendaPl-Bold"/>
      <w:b/>
      <w:color w:val="0033FF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Calibri" w:hAnsi="Calibri" w:eastAsia="Calibri" w:cs="AgendaPl-Bold"/>
      <w:b/>
      <w:color w:val="1F4E79"/>
      <w:sz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5c070b"/>
    <w:pPr>
      <w:widowControl/>
      <w:bidi w:val="0"/>
      <w:spacing w:lineRule="auto" w:line="240" w:before="0" w:after="0"/>
      <w:jc w:val="left"/>
    </w:pPr>
    <w:rPr>
      <w:rFonts w:ascii="AgendaPl RegularCondensed" w:hAnsi="AgendaPl RegularCondensed" w:cs="AgendaPl RegularCondensed" w:eastAsia="Calibri"/>
      <w:color w:val="000000"/>
      <w:kern w:val="0"/>
      <w:sz w:val="24"/>
      <w:szCs w:val="24"/>
      <w:lang w:val="pl-PL" w:eastAsia="en-US" w:bidi="ar-SA"/>
    </w:rPr>
  </w:style>
  <w:style w:type="paragraph" w:styleId="Pa13" w:customStyle="1">
    <w:name w:val="Pa13"/>
    <w:basedOn w:val="Default"/>
    <w:next w:val="Default"/>
    <w:uiPriority w:val="99"/>
    <w:qFormat/>
    <w:rsid w:val="00c66105"/>
    <w:pPr>
      <w:spacing w:lineRule="atLeast" w:line="181"/>
    </w:pPr>
    <w:rPr>
      <w:rFonts w:cs="" w:cstheme="minorBidi"/>
      <w:color w:val="auto"/>
    </w:rPr>
  </w:style>
  <w:style w:type="paragraph" w:styleId="Pa3" w:customStyle="1">
    <w:name w:val="Pa3"/>
    <w:basedOn w:val="Default"/>
    <w:next w:val="Default"/>
    <w:uiPriority w:val="99"/>
    <w:qFormat/>
    <w:rsid w:val="002265e8"/>
    <w:pPr>
      <w:spacing w:lineRule="atLeast" w:line="241"/>
    </w:pPr>
    <w:rPr>
      <w:rFonts w:ascii="AgendaPl BoldCondensed" w:hAnsi="AgendaPl BoldCondensed" w:cs="" w:cstheme="minorBidi"/>
      <w:color w:val="auto"/>
    </w:rPr>
  </w:style>
  <w:style w:type="paragraph" w:styleId="ListParagraph">
    <w:name w:val="List Paragraph"/>
    <w:basedOn w:val="Normal"/>
    <w:uiPriority w:val="34"/>
    <w:qFormat/>
    <w:rsid w:val="00ed22a8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235e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35ee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5e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a1dc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a1dc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57a0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oleObject" Target="embeddings/oleObject8.bin"/><Relationship Id="rId17" Type="http://schemas.openxmlformats.org/officeDocument/2006/relationships/image" Target="media/image8.wmf"/><Relationship Id="rId18" Type="http://schemas.openxmlformats.org/officeDocument/2006/relationships/oleObject" Target="embeddings/oleObject9.bin"/><Relationship Id="rId19" Type="http://schemas.openxmlformats.org/officeDocument/2006/relationships/image" Target="media/image9.wmf"/><Relationship Id="rId20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2" Type="http://schemas.openxmlformats.org/officeDocument/2006/relationships/oleObject" Target="embeddings/oleObject11.bin"/><Relationship Id="rId23" Type="http://schemas.openxmlformats.org/officeDocument/2006/relationships/image" Target="media/image11.wmf"/><Relationship Id="rId24" Type="http://schemas.openxmlformats.org/officeDocument/2006/relationships/oleObject" Target="embeddings/oleObject12.bin"/><Relationship Id="rId25" Type="http://schemas.openxmlformats.org/officeDocument/2006/relationships/image" Target="media/image12.wmf"/><Relationship Id="rId26" Type="http://schemas.openxmlformats.org/officeDocument/2006/relationships/oleObject" Target="embeddings/oleObject13.bin"/><Relationship Id="rId27" Type="http://schemas.openxmlformats.org/officeDocument/2006/relationships/image" Target="media/image13.wmf"/><Relationship Id="rId28" Type="http://schemas.openxmlformats.org/officeDocument/2006/relationships/oleObject" Target="embeddings/oleObject14.bin"/><Relationship Id="rId29" Type="http://schemas.openxmlformats.org/officeDocument/2006/relationships/image" Target="media/image14.wmf"/><Relationship Id="rId30" Type="http://schemas.openxmlformats.org/officeDocument/2006/relationships/oleObject" Target="embeddings/oleObject15.bin"/><Relationship Id="rId31" Type="http://schemas.openxmlformats.org/officeDocument/2006/relationships/image" Target="media/image15.wmf"/><Relationship Id="rId32" Type="http://schemas.openxmlformats.org/officeDocument/2006/relationships/oleObject" Target="embeddings/oleObject16.bin"/><Relationship Id="rId33" Type="http://schemas.openxmlformats.org/officeDocument/2006/relationships/image" Target="media/image16.wmf"/><Relationship Id="rId34" Type="http://schemas.openxmlformats.org/officeDocument/2006/relationships/oleObject" Target="embeddings/oleObject17.bin"/><Relationship Id="rId35" Type="http://schemas.openxmlformats.org/officeDocument/2006/relationships/image" Target="media/image17.wmf"/><Relationship Id="rId36" Type="http://schemas.openxmlformats.org/officeDocument/2006/relationships/oleObject" Target="embeddings/oleObject18.bin"/><Relationship Id="rId37" Type="http://schemas.openxmlformats.org/officeDocument/2006/relationships/image" Target="media/image18.wmf"/><Relationship Id="rId38" Type="http://schemas.openxmlformats.org/officeDocument/2006/relationships/oleObject" Target="embeddings/oleObject19.bin"/><Relationship Id="rId39" Type="http://schemas.openxmlformats.org/officeDocument/2006/relationships/image" Target="media/image19.wmf"/><Relationship Id="rId40" Type="http://schemas.openxmlformats.org/officeDocument/2006/relationships/oleObject" Target="embeddings/oleObject20.bin"/><Relationship Id="rId41" Type="http://schemas.openxmlformats.org/officeDocument/2006/relationships/image" Target="media/image20.wmf"/><Relationship Id="rId42" Type="http://schemas.openxmlformats.org/officeDocument/2006/relationships/oleObject" Target="embeddings/oleObject21.bin"/><Relationship Id="rId43" Type="http://schemas.openxmlformats.org/officeDocument/2006/relationships/image" Target="media/image21.wmf"/><Relationship Id="rId44" Type="http://schemas.openxmlformats.org/officeDocument/2006/relationships/oleObject" Target="embeddings/oleObject22.bin"/><Relationship Id="rId45" Type="http://schemas.openxmlformats.org/officeDocument/2006/relationships/image" Target="media/image22.wmf"/><Relationship Id="rId46" Type="http://schemas.openxmlformats.org/officeDocument/2006/relationships/oleObject" Target="embeddings/oleObject23.bin"/><Relationship Id="rId47" Type="http://schemas.openxmlformats.org/officeDocument/2006/relationships/image" Target="media/image23.wmf"/><Relationship Id="rId48" Type="http://schemas.openxmlformats.org/officeDocument/2006/relationships/oleObject" Target="embeddings/oleObject24.bin"/><Relationship Id="rId49" Type="http://schemas.openxmlformats.org/officeDocument/2006/relationships/image" Target="media/image24.wmf"/><Relationship Id="rId50" Type="http://schemas.openxmlformats.org/officeDocument/2006/relationships/header" Target="header1.xml"/><Relationship Id="rId51" Type="http://schemas.openxmlformats.org/officeDocument/2006/relationships/footer" Target="footer1.xm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7.wmf"/><Relationship Id="rId2" Type="http://schemas.openxmlformats.org/officeDocument/2006/relationships/image" Target="media/image28.ti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5.png"/><Relationship Id="rId2" Type="http://schemas.openxmlformats.org/officeDocument/2006/relationships/image" Target="media/image26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Neat_Office/6.2.8.2$Windows_x86 LibreOffice_project/</Application>
  <Pages>13</Pages>
  <Words>2046</Words>
  <Characters>13515</Characters>
  <CharactersWithSpaces>15429</CharactersWithSpaces>
  <Paragraphs>276</Paragraphs>
  <Company>WSiP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2018-04-12T14:53:00Z</dcterms:created>
  <dc:creator>Ania</dc:creator>
  <dc:description/>
  <dc:language>pl-PL</dc:language>
  <cp:lastModifiedBy/>
  <dcterms:modified xsi:type="dcterms:W3CDTF">2021-09-12T15:37:33Z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WSiP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TWinEqns">
    <vt:bool>1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