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3C2E" w14:textId="77777777" w:rsidR="00E760FB" w:rsidRPr="00F66086" w:rsidRDefault="00E760FB" w:rsidP="00E760FB">
      <w:pPr>
        <w:pStyle w:val="tytu1NieuzywaneTytuy"/>
        <w:jc w:val="center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spacing w:val="-10"/>
        </w:rPr>
        <w:t>Przedmiotowe zasady oceniania – wymagania na poszczególne oceny szkolne</w:t>
      </w:r>
    </w:p>
    <w:p w14:paraId="7B3A8813" w14:textId="77777777" w:rsidR="00E760FB" w:rsidRPr="003462C2" w:rsidRDefault="00E760FB" w:rsidP="00E760FB">
      <w:pPr>
        <w:tabs>
          <w:tab w:val="left" w:pos="340"/>
        </w:tabs>
        <w:spacing w:line="440" w:lineRule="atLeast"/>
        <w:jc w:val="center"/>
        <w:rPr>
          <w:rFonts w:cs="AgendaPl Bold"/>
          <w:sz w:val="32"/>
          <w:szCs w:val="32"/>
        </w:rPr>
      </w:pPr>
      <w:r w:rsidRPr="003462C2">
        <w:rPr>
          <w:rFonts w:cs="AgendaPl Bold"/>
          <w:sz w:val="32"/>
          <w:szCs w:val="32"/>
        </w:rPr>
        <w:t>(</w:t>
      </w:r>
      <w:r w:rsidRPr="001204E3">
        <w:rPr>
          <w:rFonts w:cs="AgendaPl Bold"/>
          <w:sz w:val="32"/>
          <w:szCs w:val="32"/>
          <w:u w:val="single"/>
        </w:rPr>
        <w:t>wymagania podkreślone dotyczą uczniów o specjalnych potrzebach edukacyjnych</w:t>
      </w:r>
      <w:r w:rsidRPr="003462C2">
        <w:rPr>
          <w:rFonts w:cs="AgendaPl Bold"/>
          <w:sz w:val="32"/>
          <w:szCs w:val="32"/>
        </w:rPr>
        <w:t>)</w:t>
      </w:r>
    </w:p>
    <w:p w14:paraId="0F83392A" w14:textId="4834C067" w:rsidR="00E760FB" w:rsidRDefault="00E760FB" w:rsidP="00E760FB">
      <w:pPr>
        <w:tabs>
          <w:tab w:val="left" w:pos="340"/>
        </w:tabs>
        <w:spacing w:line="440" w:lineRule="atLeast"/>
        <w:jc w:val="both"/>
        <w:rPr>
          <w:rFonts w:cs="AgendaPl Bold"/>
          <w:b/>
          <w:bCs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Szkoła Podstawowa w Okonku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  <w:t xml:space="preserve">   nauczyciel: Danuta Matuszczak</w:t>
      </w:r>
    </w:p>
    <w:p w14:paraId="2DEEA581" w14:textId="319C2073" w:rsidR="00943F44" w:rsidRPr="00D416EB" w:rsidRDefault="00E760FB" w:rsidP="00D416EB">
      <w:pPr>
        <w:tabs>
          <w:tab w:val="left" w:pos="340"/>
        </w:tabs>
        <w:spacing w:line="440" w:lineRule="atLeast"/>
        <w:jc w:val="both"/>
        <w:rPr>
          <w:rStyle w:val="Bold"/>
          <w:rFonts w:cs="AgendaPl Bold"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Klasa 6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 w:rsidR="00F931F1"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>rok szk. 202</w:t>
      </w:r>
      <w:r w:rsidR="00FA4F02">
        <w:rPr>
          <w:rFonts w:cs="AgendaPl Bold"/>
          <w:b/>
          <w:bCs/>
          <w:color w:val="0032FF"/>
          <w:sz w:val="32"/>
          <w:szCs w:val="32"/>
        </w:rPr>
        <w:t>4</w:t>
      </w:r>
      <w:r>
        <w:rPr>
          <w:rFonts w:cs="AgendaPl Bold"/>
          <w:b/>
          <w:bCs/>
          <w:color w:val="0032FF"/>
          <w:sz w:val="32"/>
          <w:szCs w:val="32"/>
        </w:rPr>
        <w:t>/202</w:t>
      </w:r>
      <w:r w:rsidR="00FA4F02">
        <w:rPr>
          <w:rFonts w:cs="AgendaPl Bold"/>
          <w:b/>
          <w:bCs/>
          <w:color w:val="0032FF"/>
          <w:sz w:val="32"/>
          <w:szCs w:val="32"/>
        </w:rPr>
        <w:t>5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14:paraId="2DEEA587" w14:textId="77777777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2" w14:textId="77777777"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3" w14:textId="77777777"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14:paraId="2DEEA584" w14:textId="77777777"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5" w14:textId="77777777"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14:paraId="2DEEA586" w14:textId="77777777"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14:paraId="2DEEA58E" w14:textId="77777777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EA588" w14:textId="77777777"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9" w14:textId="77777777"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A" w14:textId="77777777"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B" w14:textId="77777777"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C" w14:textId="77777777"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EA58D" w14:textId="77777777"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14:paraId="2DEEA590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8F" w14:textId="77777777"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14:paraId="2DEEA59A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1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14:paraId="2DEEA592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14:paraId="2DEEA593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4" w14:textId="77777777"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przykłady zwierząt</w:t>
            </w:r>
            <w:r w:rsidR="00222C0F"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5" w14:textId="77777777"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charakterystyczne</w:t>
            </w:r>
            <w:r w:rsidR="00222C0F"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6" w14:textId="77777777"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7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14:paraId="2DEEA598" w14:textId="77777777"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9" w14:textId="77777777"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14:paraId="2DEEA5A4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B" w14:textId="77777777"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C" w14:textId="77777777" w:rsidR="00342774" w:rsidRPr="00A317C4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określa, co to jest tkanka</w:t>
            </w:r>
          </w:p>
          <w:p w14:paraId="2DEEA59D" w14:textId="77777777" w:rsidR="00222C0F" w:rsidRPr="00A317C4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A317C4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klasyfikuje tkanki zwierzęce</w:t>
            </w:r>
            <w:r w:rsidR="00222C0F" w:rsidRPr="00A317C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DEEA59E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funkcje tkanki nabłonkowej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9F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14:paraId="2DEEA5A0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dokonuje obserwacji mikroskopowej</w:t>
            </w:r>
            <w:r w:rsidR="00222C0F"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tkanki </w:t>
            </w:r>
            <w:r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nabłonkowej</w:t>
            </w:r>
            <w:r w:rsidR="00222C0F"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F37A42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1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2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3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14:paraId="2DEEA5AE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5" w14:textId="77777777"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3.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6" w14:textId="77777777" w:rsidR="00342774" w:rsidRPr="00E04645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rodzaje tkanki mięśniowej</w:t>
            </w:r>
            <w:r w:rsidR="00222C0F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podaje ich funkcje</w:t>
            </w:r>
          </w:p>
          <w:p w14:paraId="2DEEA5A7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E04645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rolę tkanki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8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neuronu</w:t>
            </w:r>
          </w:p>
          <w:p w14:paraId="2DEEA5A9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dokonuje obserwacji mikroskopowej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tkanki mięśniowej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A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14:paraId="2DEEA5AB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C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rozpoznaje tkanki mięśniowe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D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14:paraId="2DEEA5B9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AF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Charakterystyka,</w:t>
            </w:r>
          </w:p>
          <w:p w14:paraId="2DEEA5B0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14:paraId="2DEEA5B1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B2" w14:textId="77777777" w:rsidR="00342774" w:rsidRPr="000F144C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środowiska i tryb</w:t>
            </w:r>
            <w:r w:rsidR="00222C0F"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parzydełkowców</w:t>
            </w:r>
          </w:p>
          <w:p w14:paraId="2DEEA5B3" w14:textId="77777777"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0F144C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umożliwiające</w:t>
            </w:r>
            <w:r w:rsidR="00222C0F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zaklasyfikowanie organizmu do</w:t>
            </w:r>
            <w:r w:rsidR="00222C0F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B4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B5" w14:textId="77777777" w:rsidR="00342774" w:rsidRPr="000F144C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porównuje budowę i tryb życia</w:t>
            </w:r>
            <w:r w:rsidR="00770DD7" w:rsidRPr="000F144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polipa i meduzy</w:t>
            </w:r>
          </w:p>
          <w:p w14:paraId="2DEEA5B6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 na podstawie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 tej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B7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określa sposoby rozmnażania</w:t>
            </w:r>
            <w:r w:rsidR="00770DD7" w:rsidRPr="000F144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F144C">
              <w:rPr>
                <w:rFonts w:cs="AgendaPl-RegularCondensed"/>
                <w:color w:val="000000"/>
                <w:sz w:val="20"/>
                <w:szCs w:val="20"/>
              </w:rPr>
              <w:t>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2DEEA5B8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krążkopławy i koralowce</w:t>
            </w:r>
          </w:p>
        </w:tc>
      </w:tr>
      <w:tr w:rsidR="005864C5" w:rsidRPr="00F66086" w14:paraId="2DEEA5C7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BA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14:paraId="2DEEA5BB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14:paraId="2DEEA5BC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BD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środowiska i tryb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płazińców</w:t>
            </w:r>
          </w:p>
          <w:p w14:paraId="2DEEA5BE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umożliwiające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zaklasyfikowanie organizmu do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BF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sposoby zarażenia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się tasiemcem uzbrojonym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nieuzbrojonym oraz zasady</w:t>
            </w:r>
            <w:r w:rsidR="00770DD7"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04645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profilaktyki</w:t>
            </w:r>
          </w:p>
          <w:p w14:paraId="2DEEA5C0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</w:p>
          <w:p w14:paraId="2DEEA5C1" w14:textId="77777777"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2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14:paraId="2DEEA5C3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charakterystycznych</w:t>
            </w:r>
          </w:p>
          <w:p w14:paraId="2DEEA5C4" w14:textId="77777777"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5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6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14:paraId="2DEEA5D0" w14:textId="77777777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8" w14:textId="77777777"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9" w14:textId="77777777" w:rsidR="00342774" w:rsidRPr="00D50E9B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środowiska i tryb</w:t>
            </w:r>
            <w:r w:rsidR="00770DD7"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nicieni</w:t>
            </w:r>
          </w:p>
          <w:p w14:paraId="2DEEA5CA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umożliwiające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zaklasyfikowanie organizmu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B" w14:textId="77777777" w:rsidR="00342774" w:rsidRPr="00D50E9B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sposoby zarażenia się</w:t>
            </w:r>
            <w:r w:rsidR="00770DD7"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glistą, owsikiem i włośniem</w:t>
            </w:r>
            <w:r w:rsidR="00770DD7"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50E9B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oraz zasady profilaktyki</w:t>
            </w:r>
          </w:p>
          <w:p w14:paraId="2DEEA5CC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D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E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nicieni pasożytniczych (glista,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owsik, włosień) w organizmie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CF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14:paraId="2DEEA5D3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1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2" w14:textId="77777777"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14:paraId="2DEEA5D5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4" w14:textId="77777777"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14:paraId="2DEEA5E0" w14:textId="77777777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6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14:paraId="2DEEA5D7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8" w14:textId="64C4AE44"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</w:t>
            </w:r>
            <w:r w:rsidR="005E4384"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</w:t>
            </w:r>
            <w:r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i tryb</w:t>
            </w:r>
            <w:r w:rsidR="00770DD7"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14:paraId="2DEEA5D9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A" w14:textId="77777777" w:rsidR="00342774" w:rsidRPr="0066335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główne cechy budowy</w:t>
            </w:r>
            <w:r w:rsidR="00770DD7"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6335F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pierścienic</w:t>
            </w:r>
          </w:p>
          <w:p w14:paraId="2DEEA5DB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różnice w budowie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dżdżownicy,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C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14:paraId="2DEEA5DD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 podstawie zaobserwowanych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E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DF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14:paraId="2DEEA5EB" w14:textId="77777777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1" w14:textId="77777777"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2" w14:textId="77777777" w:rsidR="00342774" w:rsidRPr="00704E7A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środowiska i tryb</w:t>
            </w:r>
            <w:r w:rsidR="00770DD7"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stawonogów</w:t>
            </w:r>
          </w:p>
          <w:p w14:paraId="2DEEA5E3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4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główne cechy budowy</w:t>
            </w:r>
            <w:r w:rsidR="00770DD7"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stawonogów</w:t>
            </w:r>
          </w:p>
          <w:p w14:paraId="2DEEA5E5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wskazuje cechy umożliwiające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skorupiakom opanowanie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6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14:paraId="2DEEA5E7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8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14:paraId="2DEEA5E9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A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14:paraId="2DEEA5F5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C" w14:textId="77777777"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D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środowiska i tryb</w:t>
            </w:r>
            <w:r w:rsidR="00770DD7"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owadów</w:t>
            </w:r>
          </w:p>
          <w:p w14:paraId="2DEEA5EE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(owady pożyteczne i owady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EF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umożliwiające</w:t>
            </w:r>
            <w:r w:rsidR="00770DD7"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owadom opanowanie środowiska</w:t>
            </w:r>
            <w:r w:rsidR="00770DD7"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704E7A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F0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14:paraId="2DEEA5F1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 podstawie zaobserwowanych</w:t>
            </w:r>
            <w:r w:rsidR="00770DD7" w:rsidRPr="00A52C2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A52C2C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F2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14:paraId="2DEEA5F3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5F4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14:paraId="2DEEA5FF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6" w14:textId="77777777"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7" w14:textId="77777777" w:rsidR="00342774" w:rsidRPr="00E425F9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środowisko i tryb</w:t>
            </w:r>
            <w:r w:rsidR="00770DD7"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pajęczaków</w:t>
            </w:r>
          </w:p>
          <w:p w14:paraId="2DEEA5F8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9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wspólne cechy budowy</w:t>
            </w:r>
            <w:r w:rsidR="00770DD7"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A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9226D1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 w:rsidRPr="009226D1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9226D1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14:paraId="2DEEA5FB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C" w14:textId="77777777"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14:paraId="2DEEA5FD" w14:textId="77777777"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5FE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14:paraId="2DEEA60A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0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1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14:paraId="2DEEA602" w14:textId="77777777" w:rsidR="00342774" w:rsidRPr="00E425F9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tryb życia ślimaków</w:t>
            </w:r>
          </w:p>
          <w:p w14:paraId="2DEEA603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4" w14:textId="77777777" w:rsidR="00342774" w:rsidRPr="00E425F9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główne cechy budowy</w:t>
            </w:r>
            <w:r w:rsidR="00E12CCD"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mięczaków</w:t>
            </w:r>
          </w:p>
          <w:p w14:paraId="2DEEA605" w14:textId="77777777" w:rsidR="00342774" w:rsidRPr="00C8717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wspólne cechy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budowy zewnętrznej ślimaków</w:t>
            </w:r>
          </w:p>
          <w:p w14:paraId="2DEEA606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7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BB443E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 w:rsidRPr="00BB443E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BB443E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 w:rsidRPr="00BB443E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BB443E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 w:rsidRPr="00BB443E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BB443E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8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9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14:paraId="2DEEA615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B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 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C" w14:textId="77777777" w:rsidR="00342774" w:rsidRPr="00E425F9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środowisko i tryb</w:t>
            </w:r>
            <w:r w:rsidR="00E12CCD"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życia małży i głowonogów</w:t>
            </w:r>
          </w:p>
          <w:p w14:paraId="2DEEA60D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0E" w14:textId="77777777" w:rsidR="00342774" w:rsidRPr="00E425F9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budowę zewnętrzną</w:t>
            </w:r>
            <w:r w:rsidR="00E12CCD"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425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małży i głowonogów</w:t>
            </w:r>
          </w:p>
          <w:p w14:paraId="2DEEA60F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budowy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umożliwiające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małżom i głowonogom przystosowanie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 życia w środowisku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w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10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14:paraId="2DEEA611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12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 i 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13" w14:textId="77777777"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14:paraId="2DEEA614" w14:textId="77777777"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14:paraId="2DEEA618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16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17" w14:textId="77777777"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14:paraId="2DEEA61A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619" w14:textId="77777777"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14:paraId="2DEEA627" w14:textId="77777777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1B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14:paraId="2DEEA61C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1D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14:paraId="2DEEA61E" w14:textId="77777777" w:rsidR="00F66086" w:rsidRPr="00073624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środowisko życia ryb</w:t>
            </w:r>
          </w:p>
          <w:p w14:paraId="2DEEA61F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073624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opisuje budowę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zewnętrzną</w:t>
            </w:r>
            <w:r w:rsidR="00E12CCD"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0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charakterystyczne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cechy kręgowców</w:t>
            </w:r>
          </w:p>
          <w:p w14:paraId="2DEEA621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przykłady ryb kostnoszkieletowych</w:t>
            </w:r>
            <w:r w:rsidR="00E12CCD"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chrzęstnoszkieletowych</w:t>
            </w:r>
            <w:r w:rsidR="00E12CCD"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oraz wskazuje</w:t>
            </w:r>
            <w:r w:rsidR="00E12CCD"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73624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2" w14:textId="77777777" w:rsidR="00F66086" w:rsidRPr="00073624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14:paraId="2DEEA623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4" w14:textId="77777777" w:rsidR="00F66086" w:rsidRPr="00073624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 w:rsidRPr="00C8717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C87177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14:paraId="2DEEA625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6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14:paraId="2DEEA630" w14:textId="77777777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8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9" w14:textId="77777777" w:rsidR="00F66086" w:rsidRPr="00D05C8C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sposób rozmnażania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się i rozwój ryb</w:t>
            </w:r>
          </w:p>
          <w:p w14:paraId="2DEEA62A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opisuje znaczenie ryb w przyrodzie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B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C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 w:rsidRPr="00784EEA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 w:rsidRPr="00784EEA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 w:rsidRPr="00784EEA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D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2E" w14:textId="77777777" w:rsidR="00F66086" w:rsidRPr="00784EEA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 w:rsidRPr="00784EEA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784EEA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14:paraId="2DEEA62F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14:paraId="2DEEA639" w14:textId="77777777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1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2" w14:textId="77777777" w:rsidR="00F66086" w:rsidRPr="00D05C8C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wskazuje środowiska życia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płazów</w:t>
            </w:r>
          </w:p>
          <w:p w14:paraId="2DEEA633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05C8C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opisuje budowę zewnętrzną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4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płazy jako zwierzęta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zmiennocieplne</w:t>
            </w:r>
          </w:p>
          <w:p w14:paraId="2DEEA635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6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7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8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14:paraId="2DEEA642" w14:textId="77777777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A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B" w14:textId="77777777" w:rsidR="00F66086" w:rsidRPr="00D05C8C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sposób rozmnażania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się płazów</w:t>
            </w:r>
          </w:p>
          <w:p w14:paraId="2DEEA63C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D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przykłady gatunków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płazów chronionych w Polsce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 uzasadnia potrzebę ich</w:t>
            </w:r>
            <w:r w:rsidR="00E12CCD"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05C8C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3E" w14:textId="77777777" w:rsidR="00F66086" w:rsidRPr="00495815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14:paraId="2DEEA63F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495815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40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2DEEA641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14:paraId="2DEEA64C" w14:textId="77777777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3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4" w14:textId="77777777" w:rsidR="00F66086" w:rsidRPr="00D73B15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wskazuje środowiska życia</w:t>
            </w:r>
            <w:r w:rsidR="00E12CCD"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gadów</w:t>
            </w:r>
          </w:p>
          <w:p w14:paraId="2DEEA645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3B15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gady jako zwierzęta</w:t>
            </w:r>
            <w:r w:rsidR="00E12CCD"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6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opisuje budowę gadów na</w:t>
            </w:r>
            <w:r w:rsidR="00E12CCD"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7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14:paraId="2DEEA648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9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14:paraId="2DEEA64A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gadów i określa ich znaczenie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B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14:paraId="2DEEA657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D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4E" w14:textId="77777777"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sposób rozmnażania</w:t>
            </w:r>
            <w:r w:rsidR="00E12CCD"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D73B15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14:paraId="2DEEA64F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0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gady jako owodniowce</w:t>
            </w:r>
          </w:p>
          <w:p w14:paraId="2DEEA651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14:paraId="2DEEA652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3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pozytywnie i negatywnie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4" w14:textId="77777777" w:rsidR="00F66086" w:rsidRPr="00495815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 w:rsidRPr="00495815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495815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</w:p>
          <w:p w14:paraId="2DEEA655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6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14:paraId="2DEEA65A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8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2DEEA659" w14:textId="77777777"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14:paraId="2DEEA65C" w14:textId="77777777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EA65B" w14:textId="77777777"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14:paraId="2DEEA669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5D" w14:textId="77777777"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5E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różnorodność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środowisk życia ptaków</w:t>
            </w:r>
          </w:p>
          <w:p w14:paraId="2DEEA65F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A317F9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umożliwiające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zaklasyfikowanie organizmu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 ptaków</w:t>
            </w:r>
          </w:p>
          <w:p w14:paraId="2DEEA660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A317F9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przedstawicieli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1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A317F9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identyfikuje nieznany organizm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jako przedstawiciela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ptaków na podstawie obecności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charakterystycznych cech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tej grupy zwierząt</w:t>
            </w:r>
          </w:p>
          <w:p w14:paraId="2DEEA662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14:paraId="2DEEA663" w14:textId="77777777"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B06EF0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4" w14:textId="77777777" w:rsidR="00F66086" w:rsidRPr="00622E2A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22E2A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 w:rsidRPr="00622E2A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622E2A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14:paraId="2DEEA665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14:paraId="2DEEA666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7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8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14:paraId="2DEEA675" w14:textId="77777777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A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14:paraId="2DEEA66B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C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14:paraId="2DEEA66D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odróżnia gniazdowniki od</w:t>
            </w:r>
          </w:p>
          <w:p w14:paraId="2DEEA66E" w14:textId="77777777"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6F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określa, na czym polega jajorodność</w:t>
            </w:r>
          </w:p>
          <w:p w14:paraId="2DEEA670" w14:textId="77777777" w:rsidR="00F66086" w:rsidRPr="00A317F9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A317F9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elementy budowy</w:t>
            </w:r>
            <w:r w:rsidR="00E12CCD"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A317F9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jaja</w:t>
            </w:r>
          </w:p>
          <w:p w14:paraId="2DEEA671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2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3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8A47C0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 w:rsidRPr="008A47C0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8A47C0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4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14:paraId="2DEEA684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6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14:paraId="2DEEA677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14:paraId="2DEEA678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14:paraId="2DEEA679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A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określa znaczenie ptaków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 środowisku i dla człowieka</w:t>
            </w:r>
          </w:p>
          <w:p w14:paraId="2DEEA67B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EB2E36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pospolite ptaki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 najbliższej okolicy</w:t>
            </w:r>
          </w:p>
          <w:p w14:paraId="2DEEA67C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7D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przykłady ptaków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chronionych w Polsce oraz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uzasadnia potrzebę ich ochrony</w:t>
            </w:r>
          </w:p>
          <w:p w14:paraId="2DEEA67E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001F0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pospolite ptaki</w:t>
            </w:r>
            <w:r w:rsidR="00E12CCD" w:rsidRPr="00001F0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001F0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żyjące w Polsce</w:t>
            </w:r>
          </w:p>
          <w:p w14:paraId="2DEEA67F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0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B06EF0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 w:rsidRPr="00B06EF0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B06EF0">
              <w:rPr>
                <w:rFonts w:cs="AgendaPl-RegularCondensed"/>
                <w:color w:val="000000"/>
                <w:sz w:val="20"/>
                <w:szCs w:val="20"/>
              </w:rPr>
              <w:t>budową dzioba a rodzajem</w:t>
            </w:r>
            <w:r w:rsidR="00E12CCD" w:rsidRPr="00B06EF0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B06EF0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14:paraId="2DEEA681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grzebieniowych, bezgrzebieniowych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2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3" w14:textId="77777777"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14:paraId="2DEEA690" w14:textId="77777777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5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14:paraId="2DEEA686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7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różnorodność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środowisk życia ssaków</w:t>
            </w:r>
          </w:p>
          <w:p w14:paraId="2DEEA688" w14:textId="77777777" w:rsidR="00F66086" w:rsidRPr="00EB2E3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EB2E36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wymienia cechy w budowie</w:t>
            </w:r>
            <w:r w:rsidR="00E12CCD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zewnętrznej umożliwiające</w:t>
            </w:r>
            <w:r w:rsidR="00F64DFC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lastRenderedPageBreak/>
              <w:t>zakwalifikowanie organizmu</w:t>
            </w:r>
            <w:r w:rsidR="00F64DFC"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EB2E3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do ssaków</w:t>
            </w:r>
          </w:p>
          <w:p w14:paraId="2DEEA689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przedstawicieli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ssaków wśród innych grup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A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identyfikuje nieznany organizm</w:t>
            </w:r>
            <w:r w:rsidR="00E12CCD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jako przedstawiciela</w:t>
            </w:r>
            <w:r w:rsidR="00E12CCD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ssaków na podstawie obecności</w:t>
            </w:r>
            <w:r w:rsidR="00E12CCD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charakterystycznych cech</w:t>
            </w:r>
          </w:p>
          <w:p w14:paraId="2DEEA68B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wyróżnia różne rodzaje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C" w14:textId="77777777" w:rsidR="00F66086" w:rsidRPr="00001F00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001F00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 w:rsidRPr="00001F00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001F00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14:paraId="2DEEA68D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E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8F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14:paraId="2DEEA698" w14:textId="77777777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1" w14:textId="77777777"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2" w14:textId="77777777" w:rsidR="00F66086" w:rsidRPr="00606620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wyjaśnia, co to znaczy, że ssaki</w:t>
            </w:r>
            <w:r w:rsidR="00F64DFC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są żyworodne</w:t>
            </w:r>
          </w:p>
          <w:p w14:paraId="2DEEA693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podaje przykłady ssaków</w:t>
            </w:r>
            <w:r w:rsidR="00F64DFC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4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8C28B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5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6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2DEEA697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14:paraId="2DEEA6A3" w14:textId="77777777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99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14:paraId="2DEEA69A" w14:textId="77777777"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9B" w14:textId="77777777" w:rsidR="00F66086" w:rsidRPr="00606620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  <w:u w:val="single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znaczenie ssaków</w:t>
            </w:r>
            <w:r w:rsidR="00F64DFC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w środowisku oraz dla człowieka</w:t>
            </w:r>
          </w:p>
          <w:p w14:paraId="2DEEA69C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606620">
              <w:rPr>
                <w:rFonts w:cs="AgendaPl-Bold"/>
                <w:b/>
                <w:bCs/>
                <w:color w:val="0033FF"/>
                <w:sz w:val="20"/>
                <w:szCs w:val="20"/>
                <w:u w:val="single"/>
              </w:rPr>
              <w:t xml:space="preserve">•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pospolite ssaki</w:t>
            </w:r>
            <w:r w:rsidR="00F64DFC"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606620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9D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14:paraId="2DEEA69E" w14:textId="77777777"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347FD8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rozpoznaje pospolite ssaki</w:t>
            </w:r>
            <w:r w:rsidR="00F64DFC" w:rsidRPr="00347FD8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347FD8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żyjące w Polsce</w:t>
            </w:r>
          </w:p>
          <w:p w14:paraId="415AB37D" w14:textId="77777777" w:rsidR="005864C5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przedstawia przykłady działań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człowieka wpływających na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  <w:u w:val="single"/>
              </w:rPr>
              <w:t>różnorodność ssaków</w:t>
            </w:r>
          </w:p>
          <w:p w14:paraId="2DEEA69F" w14:textId="46F1B287" w:rsidR="00722A72" w:rsidRPr="00F66086" w:rsidRDefault="00722A72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A0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8C28B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 w:rsidRPr="008C28B6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8C28B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A1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A2" w14:textId="77777777"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14:paraId="2DEEA6A6" w14:textId="77777777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A4" w14:textId="77777777"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2DEEA6A5" w14:textId="77777777"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22–27</w:t>
            </w:r>
          </w:p>
        </w:tc>
      </w:tr>
    </w:tbl>
    <w:p w14:paraId="2DEEA6A7" w14:textId="77777777"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5156" w14:textId="77777777" w:rsidR="0057688F" w:rsidRDefault="0057688F" w:rsidP="00EA39C6">
      <w:pPr>
        <w:spacing w:after="0" w:line="240" w:lineRule="auto"/>
      </w:pPr>
      <w:r>
        <w:separator/>
      </w:r>
    </w:p>
  </w:endnote>
  <w:endnote w:type="continuationSeparator" w:id="0">
    <w:p w14:paraId="03AFE775" w14:textId="77777777" w:rsidR="0057688F" w:rsidRDefault="0057688F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A6AF" w14:textId="77777777" w:rsidR="00E12CCD" w:rsidRDefault="00E12CCD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EA6B9" wp14:editId="2DEEA6BA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BEBB7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14:paraId="2DEEA6B0" w14:textId="77777777" w:rsidR="00E12CCD" w:rsidRDefault="00E12CCD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EA6BB" wp14:editId="2DEEA6B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E4722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" strokecolor="black [3213]" strokeweight=".5pt">
              <v:stroke joinstyle="miter"/>
            </v:line>
          </w:pict>
        </mc:Fallback>
      </mc:AlternateContent>
    </w:r>
  </w:p>
  <w:p w14:paraId="2DEEA6B1" w14:textId="77777777" w:rsidR="00E12CCD" w:rsidRDefault="00E12CCD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DEEA6BD" wp14:editId="2DEEA6BE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EA6C1" w14:textId="77777777" w:rsidR="00E12CCD" w:rsidRDefault="00E12C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EA6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" o:allowincell="f" filled="f" stroked="f">
              <v:textbox inset="0,0,0,0">
                <w:txbxContent>
                  <w:p w14:paraId="2DEEA6C1" w14:textId="77777777" w:rsidR="00E12CCD" w:rsidRDefault="00E12CC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DEEA6BF" wp14:editId="2DEEA6C0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14:paraId="2DEEA6B2" w14:textId="77777777" w:rsidR="00E12CCD" w:rsidRDefault="00E12CCD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274A0">
      <w:rPr>
        <w:noProof/>
      </w:rPr>
      <w:t>1</w:t>
    </w:r>
    <w:r>
      <w:fldChar w:fldCharType="end"/>
    </w:r>
  </w:p>
  <w:p w14:paraId="2DEEA6B3" w14:textId="77777777"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14:paraId="2DEEA6B4" w14:textId="77777777"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2042" w14:textId="77777777" w:rsidR="0057688F" w:rsidRDefault="0057688F" w:rsidP="00EA39C6">
      <w:pPr>
        <w:spacing w:after="0" w:line="240" w:lineRule="auto"/>
      </w:pPr>
      <w:r>
        <w:separator/>
      </w:r>
    </w:p>
  </w:footnote>
  <w:footnote w:type="continuationSeparator" w:id="0">
    <w:p w14:paraId="0E288C1A" w14:textId="77777777" w:rsidR="0057688F" w:rsidRDefault="0057688F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A6AC" w14:textId="77777777"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2DEEA6B5" wp14:editId="2DEEA6B6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2DEEA6B7" wp14:editId="2DEEA6B8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EA6AD" w14:textId="77777777"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14:paraId="2DEEA6AE" w14:textId="77777777" w:rsidR="00E12CCD" w:rsidRDefault="00E1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17"/>
    <w:rsid w:val="00001F00"/>
    <w:rsid w:val="00045F72"/>
    <w:rsid w:val="00072E00"/>
    <w:rsid w:val="00073624"/>
    <w:rsid w:val="000D62B5"/>
    <w:rsid w:val="000F144C"/>
    <w:rsid w:val="001204E3"/>
    <w:rsid w:val="00135E13"/>
    <w:rsid w:val="00222C0F"/>
    <w:rsid w:val="002C52D0"/>
    <w:rsid w:val="002E120F"/>
    <w:rsid w:val="002E6BED"/>
    <w:rsid w:val="00342774"/>
    <w:rsid w:val="00347FD8"/>
    <w:rsid w:val="00381A0C"/>
    <w:rsid w:val="00495815"/>
    <w:rsid w:val="0057688F"/>
    <w:rsid w:val="005864C5"/>
    <w:rsid w:val="005C2D94"/>
    <w:rsid w:val="005E4384"/>
    <w:rsid w:val="00606620"/>
    <w:rsid w:val="00617A17"/>
    <w:rsid w:val="00622E2A"/>
    <w:rsid w:val="0063690C"/>
    <w:rsid w:val="0066335F"/>
    <w:rsid w:val="00704E7A"/>
    <w:rsid w:val="00722A72"/>
    <w:rsid w:val="00770DD7"/>
    <w:rsid w:val="00784EEA"/>
    <w:rsid w:val="008A47C0"/>
    <w:rsid w:val="008C28B6"/>
    <w:rsid w:val="009226D1"/>
    <w:rsid w:val="00943F44"/>
    <w:rsid w:val="00A024F8"/>
    <w:rsid w:val="00A227F2"/>
    <w:rsid w:val="00A23549"/>
    <w:rsid w:val="00A317C4"/>
    <w:rsid w:val="00A317F9"/>
    <w:rsid w:val="00A52C2C"/>
    <w:rsid w:val="00AD60DC"/>
    <w:rsid w:val="00B06EF0"/>
    <w:rsid w:val="00BB443E"/>
    <w:rsid w:val="00C87177"/>
    <w:rsid w:val="00D05C8C"/>
    <w:rsid w:val="00D416EB"/>
    <w:rsid w:val="00D50E9B"/>
    <w:rsid w:val="00D73B15"/>
    <w:rsid w:val="00E04645"/>
    <w:rsid w:val="00E12CCD"/>
    <w:rsid w:val="00E274A0"/>
    <w:rsid w:val="00E425F9"/>
    <w:rsid w:val="00E760FB"/>
    <w:rsid w:val="00E93787"/>
    <w:rsid w:val="00EA39C6"/>
    <w:rsid w:val="00EB2E36"/>
    <w:rsid w:val="00F37A42"/>
    <w:rsid w:val="00F64DFC"/>
    <w:rsid w:val="00F66086"/>
    <w:rsid w:val="00F931F1"/>
    <w:rsid w:val="00FA4F02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EEA580"/>
  <w14:defaultImageDpi w14:val="0"/>
  <w15:docId w15:val="{115F7593-5E63-4E42-8E56-CD88CE6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78B4-E56F-4BC5-9FA4-98B3EFB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Danuta Matuszczak</cp:lastModifiedBy>
  <cp:revision>44</cp:revision>
  <dcterms:created xsi:type="dcterms:W3CDTF">2017-04-21T12:12:00Z</dcterms:created>
  <dcterms:modified xsi:type="dcterms:W3CDTF">2024-09-03T10:32:00Z</dcterms:modified>
</cp:coreProperties>
</file>