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5C92" w14:textId="7BDDA3B8" w:rsidR="00DA48FE" w:rsidRPr="00C1044C" w:rsidRDefault="00C1044C" w:rsidP="00C104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044C">
        <w:rPr>
          <w:rFonts w:ascii="Times New Roman" w:hAnsi="Times New Roman" w:cs="Times New Roman"/>
          <w:b/>
          <w:bCs/>
          <w:sz w:val="32"/>
          <w:szCs w:val="32"/>
        </w:rPr>
        <w:t>TERMINY POSTĘPOWANIA REKRUTACYJNEGO</w:t>
      </w:r>
    </w:p>
    <w:p w14:paraId="0E12B292" w14:textId="77777777" w:rsidR="00C1044C" w:rsidRDefault="00C1044C"/>
    <w:p w14:paraId="3EB4F72A" w14:textId="77777777" w:rsidR="00C1044C" w:rsidRDefault="00C1044C"/>
    <w:p w14:paraId="654D8F46" w14:textId="77777777" w:rsidR="00C1044C" w:rsidRDefault="00C1044C"/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127"/>
        <w:gridCol w:w="2209"/>
        <w:gridCol w:w="2614"/>
      </w:tblGrid>
      <w:tr w:rsidR="00C1044C" w:rsidRPr="00731D72" w14:paraId="0173F3DD" w14:textId="77777777" w:rsidTr="00B60787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8C707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LP.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1A3B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Czynności rekrutacyjne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3163D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Termin postępowania rekrutacyjnego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DC9A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Termin postępowania uzupełniającego</w:t>
            </w:r>
          </w:p>
        </w:tc>
      </w:tr>
      <w:tr w:rsidR="00C1044C" w:rsidRPr="00B83724" w14:paraId="3AC375BF" w14:textId="77777777" w:rsidTr="00B60787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18AF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2E2A4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 w:hint="eastAsia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  <w:t>Składanie wniosków o przyjęcie do przedszkola, innej formy wychowania przedszkolnego lub oddziału przedszkolnego w szkole podstawowej wraz z dokumentami potwierdzającymi spełnienie przez kandydata warunków lub kryteriów rekrutacyjnych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968D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6858B6B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2C426CCD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0B54C1A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od 1 marca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4D95DA9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1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FB22B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E92D0E5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1164C0A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13F8A0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 1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5D9F13B2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 1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9 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C1044C" w:rsidRPr="00B83724" w14:paraId="6887A2E8" w14:textId="77777777" w:rsidTr="00B60787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F14E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E4421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Weryfikacja przez komisję rekrutacyjną </w:t>
            </w:r>
            <w:r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wniosków i dokumentów, o których mowa w pkt 1 oraz wykonanie przez przewodniczącego komisji rekrutacyjnej czynności wymienionych w art. 150 ust. 7 ustawy Prawo Oświatowe (Dz. U. 2021 r., poz. 1082 z późn.zm)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9D7F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1CAF067A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01983B09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481D6B09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 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0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4 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r.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01CE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388186B0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5C18CD53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3E89DC9E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  o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d 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22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 </w:t>
            </w:r>
          </w:p>
          <w:p w14:paraId="49E16FB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4 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</w:tr>
      <w:tr w:rsidR="00C1044C" w:rsidRPr="00B83724" w14:paraId="6E505220" w14:textId="77777777" w:rsidTr="00B60787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9FE8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  <w:t>3.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06A43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Podanie do publicznej wiadomości przez komisję rekrutacyjną listy kandydatów zakwalifikowanych </w:t>
            </w: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br/>
              <w:t>i kandydatów</w:t>
            </w:r>
          </w:p>
          <w:p w14:paraId="2D596428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niezakwalifikowanych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27E0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725A91F1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179DB507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 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marca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 r. do godz. 15.00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855E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7EA726FC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D8F8875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br/>
              <w:t xml:space="preserve"> do godz. 15.00</w:t>
            </w:r>
          </w:p>
          <w:p w14:paraId="3672D489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1044C" w:rsidRPr="00B83724" w14:paraId="51D364D7" w14:textId="77777777" w:rsidTr="00B60787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B84F9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  <w:t>4.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8F4F0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Potwierdzenie przez rodzica kandydata woli przyjęcia do przedszkola</w:t>
            </w:r>
            <w:r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w postaci pisemnego oświadczenia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62AC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4B8B1EE6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29 marca 2024 r.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D4329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A76520F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od 26 kwietnia 2024 r.</w:t>
            </w:r>
          </w:p>
          <w:p w14:paraId="5837054E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30 kwietnia 2024 r.</w:t>
            </w:r>
          </w:p>
        </w:tc>
      </w:tr>
      <w:tr w:rsidR="00C1044C" w:rsidRPr="00B83724" w14:paraId="42569769" w14:textId="77777777" w:rsidTr="00B60787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6E56" w14:textId="77777777" w:rsidR="00C1044C" w:rsidRPr="00731D72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31D72">
              <w:rPr>
                <w:rFonts w:ascii="Times New Roman" w:eastAsia="NSimSun" w:hAnsi="Times New Roman" w:cs="Lucida Sans"/>
                <w:color w:val="000000"/>
                <w:kern w:val="3"/>
                <w:sz w:val="28"/>
                <w:szCs w:val="28"/>
                <w:lang w:eastAsia="zh-CN" w:bidi="hi-IN"/>
              </w:rPr>
              <w:t>5.</w:t>
            </w:r>
          </w:p>
        </w:tc>
        <w:tc>
          <w:tcPr>
            <w:tcW w:w="4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B81B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 xml:space="preserve">Podanie do publicznej wiadomości </w:t>
            </w:r>
            <w:r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r w:rsidRPr="00B83724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eastAsia="zh-CN" w:bidi="hi-IN"/>
              </w:rPr>
              <w:t>przez komisję rekrutacyjną listy kandydatów przyjętych i kandydatów nieprzyjętych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495A2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02BD600A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do 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5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kwietnia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361A2099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godz. 15.00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5392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</w:p>
          <w:p w14:paraId="67CFC52E" w14:textId="77777777" w:rsidR="00C1044C" w:rsidRDefault="00C1044C" w:rsidP="00B6078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        6 maja 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4</w:t>
            </w:r>
            <w:r w:rsidRPr="00B83724"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  <w:p w14:paraId="28CC57F2" w14:textId="77777777" w:rsidR="00C1044C" w:rsidRPr="00B83724" w:rsidRDefault="00C1044C" w:rsidP="00B6078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Lucida Sans"/>
                <w:color w:val="000000" w:themeColor="text1"/>
                <w:kern w:val="3"/>
                <w:sz w:val="24"/>
                <w:szCs w:val="24"/>
                <w:lang w:eastAsia="zh-CN" w:bidi="hi-IN"/>
              </w:rPr>
              <w:t>do godz. 15.00</w:t>
            </w:r>
          </w:p>
        </w:tc>
      </w:tr>
    </w:tbl>
    <w:p w14:paraId="68E8343C" w14:textId="77777777" w:rsidR="00C1044C" w:rsidRDefault="00C1044C"/>
    <w:sectPr w:rsidR="00C10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4C"/>
    <w:rsid w:val="00256CEA"/>
    <w:rsid w:val="00C1044C"/>
    <w:rsid w:val="00D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FD58"/>
  <w15:chartTrackingRefBased/>
  <w15:docId w15:val="{1FF8E7A0-5BE8-4272-8A4E-ACABA51B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Słabisz Katarzyna</dc:creator>
  <cp:keywords/>
  <dc:description/>
  <cp:lastModifiedBy>Słabisz Katarzyna</cp:lastModifiedBy>
  <cp:revision>1</cp:revision>
  <dcterms:created xsi:type="dcterms:W3CDTF">2024-02-09T11:36:00Z</dcterms:created>
  <dcterms:modified xsi:type="dcterms:W3CDTF">2024-02-09T11:38:00Z</dcterms:modified>
</cp:coreProperties>
</file>