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Wyprawka dla dziecka uczęszczającego do oddziału przedszkolnego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·       kapcie z białą podeszwą (najlepiej zapinane na rzepy)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·       piórnik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·       worek na kapcie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·       kubek do herbaty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·       tacka/podkładka śniadaniowa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·       herbata zwykła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·       cukier 1 kg.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·       mały ręczniczek do rąk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·       chusteczki higieniczne (w pudełku)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·       chusteczki nawilżane (duże opakowanie)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·       kredki ołówkowe (najlepiej trójkątne)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·       temperówka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·       ołówki 2 sztuki (najlepiej trójkątne i miękkie)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·       gumka do ścierania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·       farby plakatowe + pędzelek + kubek do wody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·       plastelina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·       klej w sztyfcie 2 sztuki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·       nożyczki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·       zeszyt w trzy linie 2 sztuki (kolorowa liniatura) + okładka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·       zeszyt w kratkę 2 sztuki + okładka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·       ryza białego papieru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·       blok techniczny biały i kolorowy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·       teczka A4 na prace (zamykana na gumkę)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·       flamastry/mazaki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Wszystkie rzeczy proszę podpisać. Piórnik najlepiej w formie saszetki, bądź tak otwierany, żeby dziecko miało łatwy dostęp do jego wnętrza i wyjmowania przyborów.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