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6" w:rsidRPr="00C127F1" w:rsidRDefault="00B92CD6" w:rsidP="00B92CD6">
      <w:pPr>
        <w:pStyle w:val="rozdzial"/>
      </w:pPr>
      <w:r w:rsidRPr="00C127F1">
        <w:t>Przedmioto</w:t>
      </w:r>
      <w:r w:rsidR="004B417D">
        <w:t>wy system oceniania z fizyki klasa VII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043DEC" w:rsidTr="00B92CD6">
        <w:trPr>
          <w:cantSplit/>
          <w:trHeight w:val="170"/>
        </w:trPr>
        <w:tc>
          <w:tcPr>
            <w:tcW w:w="0" w:type="auto"/>
          </w:tcPr>
          <w:p w:rsidR="00B92CD6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17D" w:rsidRPr="00372F93" w:rsidRDefault="004B417D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17D" w:rsidRPr="00043DEC" w:rsidTr="00B92CD6">
        <w:trPr>
          <w:cantSplit/>
          <w:trHeight w:val="170"/>
        </w:trPr>
        <w:tc>
          <w:tcPr>
            <w:tcW w:w="0" w:type="auto"/>
          </w:tcPr>
          <w:p w:rsidR="004B417D" w:rsidRDefault="004B417D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  <w:bookmarkStart w:id="0" w:name="_GoBack"/>
      <w:bookmarkEnd w:id="0"/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043DEC" w:rsidRDefault="00B92CD6" w:rsidP="00B92CD6">
      <w:pPr>
        <w:pStyle w:val="rdtytuzkwadratemzielonym"/>
        <w:numPr>
          <w:ilvl w:val="0"/>
          <w:numId w:val="4"/>
        </w:numPr>
        <w:spacing w:after="85"/>
        <w:rPr>
          <w:sz w:val="32"/>
          <w:szCs w:val="32"/>
        </w:rPr>
      </w:pPr>
      <w:r w:rsidRPr="00043DEC">
        <w:rPr>
          <w:sz w:val="32"/>
          <w:szCs w:val="32"/>
        </w:rPr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="004B417D">
        <w:rPr>
          <w:rFonts w:ascii="Times New Roman" w:hAnsi="Times New Roman" w:cs="Times New Roman"/>
          <w:sz w:val="20"/>
          <w:szCs w:val="20"/>
        </w:rPr>
        <w:t xml:space="preserve"> - </w:t>
      </w:r>
      <w:r w:rsidRPr="00372F93">
        <w:rPr>
          <w:rFonts w:ascii="Times New Roman" w:hAnsi="Times New Roman" w:cs="Times New Roman"/>
          <w:sz w:val="20"/>
          <w:szCs w:val="20"/>
        </w:rPr>
        <w:t xml:space="preserve">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043DEC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043DEC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 xml:space="preserve">określa zachowanie się ciała w przypadku </w:t>
            </w:r>
            <w:r w:rsidRPr="00C127F1">
              <w:lastRenderedPageBreak/>
              <w:t>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lastRenderedPageBreak/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</w:t>
            </w:r>
            <w:r w:rsidRPr="00C127F1">
              <w:lastRenderedPageBreak/>
              <w:t>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 xml:space="preserve">wyodrębnia z tekstów i rysunków </w:t>
            </w:r>
            <w:proofErr w:type="spellStart"/>
            <w:r w:rsidRPr="00C127F1">
              <w:t>informacjekluczowe</w:t>
            </w:r>
            <w:proofErr w:type="spellEnd"/>
            <w:r w:rsidRPr="00C127F1">
              <w:t xml:space="preserve">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 xml:space="preserve">się odpowiednimi symbolami) wraz z jednostkami (długość, masa, </w:t>
            </w:r>
            <w:proofErr w:type="spellStart"/>
            <w:r w:rsidRPr="00C127F1">
              <w:t>temperatura,czas</w:t>
            </w:r>
            <w:proofErr w:type="spellEnd"/>
            <w:r w:rsidRPr="00C127F1">
              <w:t>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niż dwóch) sił działających wzdłuż tej samej </w:t>
            </w:r>
            <w:r w:rsidRPr="00C127F1">
              <w:lastRenderedPageBreak/>
              <w:t>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043DEC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043DEC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posługuje się tabelami wielkości fizycznych </w:t>
            </w:r>
            <w:r w:rsidRPr="00C127F1">
              <w:lastRenderedPageBreak/>
              <w:t>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opisuje budowę mikroskopową ciał stałych, cieczy i gazów (strukturę mikroskopową substancji </w:t>
            </w:r>
            <w:r w:rsidRPr="00C127F1">
              <w:lastRenderedPageBreak/>
              <w:t>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</w:t>
            </w:r>
            <w:proofErr w:type="spellStart"/>
            <w:r w:rsidRPr="0011106B">
              <w:t>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 w:rsidRPr="00C127F1">
              <w:t>masą</w:t>
            </w:r>
            <w:proofErr w:type="spellEnd"/>
            <w:r w:rsidRPr="00C127F1">
              <w:t xml:space="preserve">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wy</w:t>
            </w:r>
            <w:r w:rsidRPr="00C127F1">
              <w:lastRenderedPageBreak/>
              <w:t xml:space="preserve">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043DE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lastRenderedPageBreak/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lastRenderedPageBreak/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</w:t>
            </w:r>
            <w:proofErr w:type="spellStart"/>
            <w:r w:rsidRPr="00C127F1">
              <w:t>tympopularnonaukowych</w:t>
            </w:r>
            <w:proofErr w:type="spellEnd"/>
            <w:r w:rsidRPr="00C127F1">
              <w:t xml:space="preserve">) dotyczących ciśnienia hydrostatycznego i atmosferycznego oraz </w:t>
            </w:r>
            <w:r w:rsidRPr="00C127F1">
              <w:lastRenderedPageBreak/>
              <w:t xml:space="preserve">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</w:t>
            </w:r>
            <w:r w:rsidRPr="00C127F1">
              <w:lastRenderedPageBreak/>
              <w:t>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043DE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nazywa ruchem jednostajnym ruch, w którym droga przebyta w jednostkowych przedziałach czasu jest stała; podaje przykłady </w:t>
            </w:r>
            <w:r w:rsidRPr="00C127F1">
              <w:lastRenderedPageBreak/>
              <w:t>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odczytuje dane z wykresów zależności drogi, prędkości i przyspieszenia od czasu dla ruchów prostoliniowych: jednostajnego </w:t>
            </w:r>
            <w:r w:rsidRPr="00C127F1">
              <w:lastRenderedPageBreak/>
              <w:t>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wyznacza wartość prędkości i drogę z wykresów zależności prędkości i drogi od czasu dla </w:t>
            </w:r>
            <w:r w:rsidRPr="00C127F1">
              <w:lastRenderedPageBreak/>
              <w:t>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nazywa ruchem jednostajnie przyspieszonym ruch, w którym wartość prędkości </w:t>
            </w:r>
            <w:proofErr w:type="spellStart"/>
            <w:r w:rsidRPr="00C127F1">
              <w:t>rośniejednostkowych</w:t>
            </w:r>
            <w:proofErr w:type="spellEnd"/>
            <w:r w:rsidRPr="00C127F1">
              <w:t xml:space="preserve">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8E514A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</w:t>
            </w:r>
            <w:r w:rsidRPr="0011106B">
              <w:lastRenderedPageBreak/>
              <w:t>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dla </w:t>
            </w:r>
            <w:proofErr w:type="spellStart"/>
            <w:r w:rsidRPr="0011106B">
              <w:t>ruchuprostoliniowego</w:t>
            </w:r>
            <w:proofErr w:type="spellEnd"/>
            <w:r w:rsidRPr="0011106B">
              <w:t xml:space="preserve">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E514A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8E514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E514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8E514A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 xml:space="preserve">analizuje wykresy </w:t>
            </w:r>
            <w:proofErr w:type="spellStart"/>
            <w:r w:rsidRPr="0011106B">
              <w:t>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 xml:space="preserve">dowolnym ruchu jest </w:t>
            </w:r>
            <w:r w:rsidRPr="0011106B">
              <w:lastRenderedPageBreak/>
              <w:t>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043DE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analizuje zachowanie się ciał na podstawie </w:t>
            </w:r>
            <w:r w:rsidRPr="00C127F1">
              <w:lastRenderedPageBreak/>
              <w:t>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lastRenderedPageBreak/>
              <w:t xml:space="preserve">korzystając z opisów doświadczeń i przestrzegając zasad bezpieczeństwa; zapisuje wyniki pomiarów wraz z ich jednostkami </w:t>
            </w:r>
            <w:proofErr w:type="spellStart"/>
            <w:r w:rsidRPr="00C127F1">
              <w:t>orazz</w:t>
            </w:r>
            <w:proofErr w:type="spellEnd"/>
            <w:r w:rsidRPr="00C127F1">
              <w:t>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8E514A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8E514A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043DE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energia; wyjaśnia co rozumiemy przez pojęcie energii oraz kiedy ciało zyskuje energię, a kiedy ją traci; </w:t>
            </w:r>
            <w:r w:rsidRPr="00C127F1">
              <w:lastRenderedPageBreak/>
              <w:t>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podaje i opisuje zależność przyrostu energii potencjalnej grawitacji ciała od jego masy i wysokości, na jaką ciało zostało podniesione </w:t>
            </w:r>
            <w:r w:rsidRPr="00C127F1">
              <w:lastRenderedPageBreak/>
              <w:t>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8E514A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8E514A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</w:t>
            </w:r>
            <w:r w:rsidRPr="0011106B">
              <w:lastRenderedPageBreak/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</w:t>
            </w:r>
            <w:proofErr w:type="spellStart"/>
            <w:r w:rsidRPr="00C127F1">
              <w:t>wykorzystuje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 xml:space="preserve">Praca,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043DEC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 xml:space="preserve">posługuje się tabelami wielkości fizycznych w celu odszukania temperatury topnienia i temperatury wrzenia </w:t>
            </w:r>
            <w:proofErr w:type="spellStart"/>
            <w:r w:rsidRPr="00C127F1">
              <w:t>oraz</w:t>
            </w:r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lastRenderedPageBreak/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8E514A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</w:t>
            </w:r>
            <w:r w:rsidRPr="0011106B">
              <w:lastRenderedPageBreak/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</w:t>
            </w:r>
            <w:r w:rsidRPr="00C127F1">
              <w:lastRenderedPageBreak/>
              <w:t xml:space="preserve">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8E514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8E514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547B85">
              <w:fldChar w:fldCharType="end"/>
            </w:r>
            <w:r w:rsidRPr="00C127F1">
              <w:t xml:space="preserve">, zależności </w:t>
            </w:r>
            <w:r w:rsidR="008E514A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14A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8E514A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kosztem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</w:t>
            </w:r>
            <w:proofErr w:type="spellStart"/>
            <w:r w:rsidRPr="00C127F1">
              <w:t>ilościpobranego</w:t>
            </w:r>
            <w:proofErr w:type="spellEnd"/>
            <w:r w:rsidRPr="00C127F1">
              <w:t xml:space="preserve">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wykorzystania (w przyrodzie i w życiu codziennym) przewodnictwa cieplnego </w:t>
            </w:r>
            <w:r w:rsidRPr="00C127F1">
              <w:lastRenderedPageBreak/>
              <w:t>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26" w:rsidRDefault="000C3626" w:rsidP="00BD0596">
      <w:r>
        <w:separator/>
      </w:r>
    </w:p>
  </w:endnote>
  <w:endnote w:type="continuationSeparator" w:id="0">
    <w:p w:rsidR="000C3626" w:rsidRDefault="000C3626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26" w:rsidRDefault="000C3626" w:rsidP="00BD0596">
      <w:r>
        <w:separator/>
      </w:r>
    </w:p>
  </w:footnote>
  <w:footnote w:type="continuationSeparator" w:id="0">
    <w:p w:rsidR="000C3626" w:rsidRDefault="000C3626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6D272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8A8F4">
              <wp:simplePos x="0" y="0"/>
              <wp:positionH relativeFrom="page">
                <wp:posOffset>-117475</wp:posOffset>
              </wp:positionH>
              <wp:positionV relativeFrom="page">
                <wp:posOffset>353060</wp:posOffset>
              </wp:positionV>
              <wp:extent cx="115570" cy="4572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457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8A8F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9.25pt;margin-top:27.8pt;width:9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F3E423">
              <wp:simplePos x="0" y="0"/>
              <wp:positionH relativeFrom="page">
                <wp:posOffset>-1109345</wp:posOffset>
              </wp:positionH>
              <wp:positionV relativeFrom="page">
                <wp:posOffset>354330</wp:posOffset>
              </wp:positionV>
              <wp:extent cx="502920" cy="98425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98425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3E423" id="Pole tekstowe 473" o:spid="_x0000_s1027" type="#_x0000_t202" style="position:absolute;margin-left:-87.35pt;margin-top:27.9pt;width:39.6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" fillcolor="#b1c903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6"/>
    <w:rsid w:val="00043DEC"/>
    <w:rsid w:val="000C3626"/>
    <w:rsid w:val="000E7C17"/>
    <w:rsid w:val="001364A0"/>
    <w:rsid w:val="00272901"/>
    <w:rsid w:val="002B11B2"/>
    <w:rsid w:val="00372F93"/>
    <w:rsid w:val="003949A2"/>
    <w:rsid w:val="004B417D"/>
    <w:rsid w:val="00512715"/>
    <w:rsid w:val="005222FB"/>
    <w:rsid w:val="00556787"/>
    <w:rsid w:val="005C0F60"/>
    <w:rsid w:val="005C330A"/>
    <w:rsid w:val="0060697A"/>
    <w:rsid w:val="006233D8"/>
    <w:rsid w:val="006D272A"/>
    <w:rsid w:val="00760232"/>
    <w:rsid w:val="00791A66"/>
    <w:rsid w:val="00885CAA"/>
    <w:rsid w:val="008E514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BE022D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16BDDE-C8AE-41F1-A5C7-93921E24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4362-C0E6-4E85-B4F2-1CA56686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7362</Words>
  <Characters>44173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Janek</cp:lastModifiedBy>
  <cp:revision>2</cp:revision>
  <cp:lastPrinted>2017-09-27T09:36:00Z</cp:lastPrinted>
  <dcterms:created xsi:type="dcterms:W3CDTF">2018-09-19T20:20:00Z</dcterms:created>
  <dcterms:modified xsi:type="dcterms:W3CDTF">2018-09-19T20:20:00Z</dcterms:modified>
</cp:coreProperties>
</file>