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29A2" w14:textId="77777777" w:rsidR="00DF1268" w:rsidRPr="0000628E" w:rsidRDefault="00DF1268" w:rsidP="0000628E">
      <w:pPr>
        <w:pStyle w:val="Gwka"/>
        <w:spacing w:line="360" w:lineRule="auto"/>
        <w:jc w:val="center"/>
        <w:rPr>
          <w:rFonts w:asciiTheme="minorHAnsi" w:hAnsiTheme="minorHAnsi" w:cstheme="minorHAnsi"/>
          <w:b/>
          <w:bCs/>
          <w:sz w:val="22"/>
          <w:szCs w:val="22"/>
          <w:u w:val="single"/>
          <w:lang w:val="pl-PL"/>
        </w:rPr>
      </w:pPr>
      <w:r w:rsidRPr="0000628E">
        <w:rPr>
          <w:rFonts w:asciiTheme="minorHAnsi" w:hAnsiTheme="minorHAnsi" w:cstheme="minorHAnsi"/>
          <w:b/>
          <w:bCs/>
          <w:sz w:val="22"/>
          <w:szCs w:val="22"/>
          <w:u w:val="single"/>
          <w:lang w:val="pl-PL"/>
        </w:rPr>
        <w:t>WPROWADZENIE DO SPRAWOZDANIA:</w:t>
      </w:r>
    </w:p>
    <w:p w14:paraId="7B9B0922" w14:textId="77777777" w:rsidR="00DF1268" w:rsidRPr="0000628E" w:rsidRDefault="00DF1268" w:rsidP="0000628E">
      <w:pPr>
        <w:pStyle w:val="Gwka"/>
        <w:spacing w:line="360" w:lineRule="auto"/>
        <w:jc w:val="both"/>
        <w:rPr>
          <w:rFonts w:asciiTheme="minorHAnsi" w:hAnsiTheme="minorHAnsi" w:cstheme="minorHAnsi"/>
          <w:b/>
          <w:bCs/>
          <w:sz w:val="22"/>
          <w:szCs w:val="22"/>
          <w:lang w:val="pl-PL"/>
        </w:rPr>
      </w:pPr>
    </w:p>
    <w:p w14:paraId="05BA6307" w14:textId="77777777" w:rsidR="00DF1268" w:rsidRPr="0000628E" w:rsidRDefault="00DF1268" w:rsidP="0000628E">
      <w:pPr>
        <w:pStyle w:val="Gwka"/>
        <w:spacing w:line="360" w:lineRule="auto"/>
        <w:jc w:val="both"/>
        <w:rPr>
          <w:rFonts w:asciiTheme="minorHAnsi" w:hAnsiTheme="minorHAnsi" w:cstheme="minorHAnsi"/>
          <w:sz w:val="22"/>
          <w:szCs w:val="22"/>
          <w:lang w:val="pl-PL"/>
        </w:rPr>
      </w:pPr>
      <w:r w:rsidRPr="0000628E">
        <w:rPr>
          <w:rFonts w:asciiTheme="minorHAnsi" w:hAnsiTheme="minorHAnsi" w:cstheme="minorHAnsi"/>
          <w:sz w:val="22"/>
          <w:szCs w:val="22"/>
          <w:lang w:val="pl-PL"/>
        </w:rPr>
        <w:t>Sprawozdanie finansowe sporządzone zostało dla:</w:t>
      </w:r>
    </w:p>
    <w:p w14:paraId="5A75B8D1" w14:textId="77777777" w:rsidR="00DF1268" w:rsidRPr="0000628E" w:rsidRDefault="0014735F" w:rsidP="0000628E">
      <w:pPr>
        <w:pStyle w:val="Gwka"/>
        <w:spacing w:line="360" w:lineRule="auto"/>
        <w:jc w:val="both"/>
        <w:rPr>
          <w:rFonts w:asciiTheme="minorHAnsi" w:hAnsiTheme="minorHAnsi" w:cstheme="minorHAnsi"/>
          <w:b/>
          <w:bCs/>
          <w:sz w:val="22"/>
          <w:szCs w:val="22"/>
          <w:lang w:val="pl-PL"/>
        </w:rPr>
      </w:pPr>
      <w:r w:rsidRPr="0000628E">
        <w:rPr>
          <w:rFonts w:asciiTheme="minorHAnsi" w:hAnsiTheme="minorHAnsi" w:cstheme="minorHAnsi"/>
          <w:b/>
          <w:bCs/>
          <w:sz w:val="22"/>
          <w:szCs w:val="22"/>
          <w:lang w:val="pl-PL"/>
        </w:rPr>
        <w:t>Stowarzyszenie „TRÓJKA”</w:t>
      </w:r>
    </w:p>
    <w:p w14:paraId="71400962" w14:textId="77777777" w:rsidR="00DF1268" w:rsidRPr="0000628E" w:rsidRDefault="00DF1268" w:rsidP="0000628E">
      <w:pPr>
        <w:pStyle w:val="Gwka"/>
        <w:spacing w:line="360" w:lineRule="auto"/>
        <w:jc w:val="both"/>
        <w:rPr>
          <w:rFonts w:asciiTheme="minorHAnsi" w:hAnsiTheme="minorHAnsi" w:cstheme="minorHAnsi"/>
          <w:b/>
          <w:bCs/>
          <w:sz w:val="22"/>
          <w:szCs w:val="22"/>
          <w:lang w:val="pl-PL"/>
        </w:rPr>
      </w:pPr>
      <w:r w:rsidRPr="0000628E">
        <w:rPr>
          <w:rFonts w:asciiTheme="minorHAnsi" w:hAnsiTheme="minorHAnsi" w:cstheme="minorHAnsi"/>
          <w:b/>
          <w:bCs/>
          <w:sz w:val="22"/>
          <w:szCs w:val="22"/>
          <w:lang w:val="pl-PL"/>
        </w:rPr>
        <w:t xml:space="preserve">ul. </w:t>
      </w:r>
      <w:r w:rsidR="0014735F" w:rsidRPr="0000628E">
        <w:rPr>
          <w:rFonts w:asciiTheme="minorHAnsi" w:hAnsiTheme="minorHAnsi" w:cstheme="minorHAnsi"/>
          <w:b/>
          <w:bCs/>
          <w:sz w:val="22"/>
          <w:szCs w:val="22"/>
          <w:lang w:val="pl-PL"/>
        </w:rPr>
        <w:t>Załuskiego 57</w:t>
      </w:r>
      <w:r w:rsidRPr="0000628E">
        <w:rPr>
          <w:rFonts w:asciiTheme="minorHAnsi" w:hAnsiTheme="minorHAnsi" w:cstheme="minorHAnsi"/>
          <w:b/>
          <w:bCs/>
          <w:sz w:val="22"/>
          <w:szCs w:val="22"/>
          <w:lang w:val="pl-PL"/>
        </w:rPr>
        <w:t xml:space="preserve">, </w:t>
      </w:r>
      <w:r w:rsidR="0014735F" w:rsidRPr="0000628E">
        <w:rPr>
          <w:rFonts w:asciiTheme="minorHAnsi" w:hAnsiTheme="minorHAnsi" w:cstheme="minorHAnsi"/>
          <w:b/>
          <w:bCs/>
          <w:sz w:val="22"/>
          <w:szCs w:val="22"/>
          <w:lang w:val="pl-PL"/>
        </w:rPr>
        <w:t>05-230 Kobyłka</w:t>
      </w:r>
    </w:p>
    <w:p w14:paraId="40B4DE2D" w14:textId="77777777" w:rsidR="00DF1268" w:rsidRPr="0000628E" w:rsidRDefault="00DF1268" w:rsidP="0000628E">
      <w:pPr>
        <w:pStyle w:val="Gwka"/>
        <w:spacing w:line="360" w:lineRule="auto"/>
        <w:jc w:val="both"/>
        <w:rPr>
          <w:rFonts w:asciiTheme="minorHAnsi" w:hAnsiTheme="minorHAnsi" w:cstheme="minorHAnsi"/>
          <w:b/>
          <w:iCs/>
          <w:sz w:val="22"/>
          <w:szCs w:val="22"/>
          <w:lang w:val="pl-PL"/>
        </w:rPr>
      </w:pPr>
      <w:r w:rsidRPr="0000628E">
        <w:rPr>
          <w:rFonts w:asciiTheme="minorHAnsi" w:hAnsiTheme="minorHAnsi" w:cstheme="minorHAnsi"/>
          <w:bCs/>
          <w:sz w:val="22"/>
          <w:szCs w:val="22"/>
          <w:lang w:val="pl-PL"/>
        </w:rPr>
        <w:t xml:space="preserve">Numer wpisu do KRS: </w:t>
      </w:r>
      <w:r w:rsidR="0014735F" w:rsidRPr="0000628E">
        <w:rPr>
          <w:rFonts w:asciiTheme="minorHAnsi" w:hAnsiTheme="minorHAnsi" w:cstheme="minorHAnsi"/>
          <w:bCs/>
          <w:sz w:val="22"/>
          <w:szCs w:val="22"/>
          <w:lang w:val="pl-PL"/>
        </w:rPr>
        <w:t>0000262645</w:t>
      </w:r>
    </w:p>
    <w:p w14:paraId="75BC3BA3" w14:textId="77777777" w:rsidR="00DF1268" w:rsidRPr="0000628E" w:rsidRDefault="00DF1268" w:rsidP="0000628E">
      <w:pPr>
        <w:pStyle w:val="Gwka"/>
        <w:spacing w:line="360" w:lineRule="auto"/>
        <w:jc w:val="both"/>
        <w:rPr>
          <w:rFonts w:asciiTheme="minorHAnsi" w:hAnsiTheme="minorHAnsi" w:cstheme="minorHAnsi"/>
          <w:b/>
          <w:sz w:val="22"/>
          <w:szCs w:val="22"/>
          <w:shd w:val="clear" w:color="auto" w:fill="FFFFFF"/>
        </w:rPr>
      </w:pPr>
      <w:r w:rsidRPr="0000628E">
        <w:rPr>
          <w:rFonts w:asciiTheme="minorHAnsi" w:hAnsiTheme="minorHAnsi" w:cstheme="minorHAnsi"/>
          <w:b/>
          <w:iCs/>
          <w:sz w:val="22"/>
          <w:szCs w:val="22"/>
          <w:lang w:val="pl-PL"/>
        </w:rPr>
        <w:t xml:space="preserve">REGON: </w:t>
      </w:r>
      <w:r w:rsidR="0014735F" w:rsidRPr="0000628E">
        <w:rPr>
          <w:rFonts w:asciiTheme="minorHAnsi" w:hAnsiTheme="minorHAnsi" w:cstheme="minorHAnsi"/>
          <w:b/>
          <w:sz w:val="22"/>
          <w:szCs w:val="22"/>
          <w:shd w:val="clear" w:color="auto" w:fill="FFFFFF"/>
        </w:rPr>
        <w:t>140698242</w:t>
      </w:r>
    </w:p>
    <w:p w14:paraId="5148CD81" w14:textId="77777777" w:rsidR="00DF1268" w:rsidRPr="0000628E" w:rsidRDefault="00DF1268" w:rsidP="0000628E">
      <w:pPr>
        <w:pStyle w:val="Gwka"/>
        <w:spacing w:line="360" w:lineRule="auto"/>
        <w:jc w:val="both"/>
        <w:rPr>
          <w:rFonts w:asciiTheme="minorHAnsi" w:hAnsiTheme="minorHAnsi" w:cstheme="minorHAnsi"/>
          <w:b/>
          <w:iCs/>
          <w:sz w:val="22"/>
          <w:szCs w:val="22"/>
          <w:lang w:val="pl-PL"/>
        </w:rPr>
      </w:pPr>
      <w:r w:rsidRPr="0000628E">
        <w:rPr>
          <w:rFonts w:asciiTheme="minorHAnsi" w:hAnsiTheme="minorHAnsi" w:cstheme="minorHAnsi"/>
          <w:b/>
          <w:sz w:val="22"/>
          <w:szCs w:val="22"/>
          <w:shd w:val="clear" w:color="auto" w:fill="FFFFFF"/>
        </w:rPr>
        <w:t xml:space="preserve">NIP: </w:t>
      </w:r>
      <w:r w:rsidR="0014735F" w:rsidRPr="0000628E">
        <w:rPr>
          <w:rFonts w:asciiTheme="minorHAnsi" w:hAnsiTheme="minorHAnsi" w:cstheme="minorHAnsi"/>
          <w:b/>
          <w:sz w:val="22"/>
          <w:szCs w:val="22"/>
          <w:shd w:val="clear" w:color="auto" w:fill="FFFFFF"/>
        </w:rPr>
        <w:t>1251404652</w:t>
      </w:r>
    </w:p>
    <w:p w14:paraId="7100C047" w14:textId="1B39CEC5" w:rsidR="00DF1268" w:rsidRPr="0000628E" w:rsidRDefault="00DF1268" w:rsidP="0000628E">
      <w:pPr>
        <w:pStyle w:val="Gwka"/>
        <w:numPr>
          <w:ilvl w:val="0"/>
          <w:numId w:val="2"/>
        </w:numPr>
        <w:spacing w:line="360" w:lineRule="auto"/>
        <w:jc w:val="both"/>
        <w:rPr>
          <w:rFonts w:asciiTheme="minorHAnsi" w:hAnsiTheme="minorHAnsi" w:cstheme="minorHAnsi"/>
          <w:iCs/>
          <w:lang w:val="pl-PL"/>
        </w:rPr>
      </w:pPr>
      <w:r w:rsidRPr="0000628E">
        <w:rPr>
          <w:rFonts w:asciiTheme="minorHAnsi" w:hAnsiTheme="minorHAnsi" w:cstheme="minorHAnsi"/>
          <w:iCs/>
          <w:lang w:val="pl-PL"/>
        </w:rPr>
        <w:t xml:space="preserve">Niniejsze sprawozdanie finansowe obejmuje okres od </w:t>
      </w:r>
      <w:r w:rsidR="0014735F" w:rsidRPr="0000628E">
        <w:rPr>
          <w:rFonts w:asciiTheme="minorHAnsi" w:hAnsiTheme="minorHAnsi" w:cstheme="minorHAnsi"/>
          <w:b/>
          <w:iCs/>
          <w:lang w:val="pl-PL"/>
        </w:rPr>
        <w:t>01.01</w:t>
      </w:r>
      <w:r w:rsidRPr="0000628E">
        <w:rPr>
          <w:rFonts w:asciiTheme="minorHAnsi" w:hAnsiTheme="minorHAnsi" w:cstheme="minorHAnsi"/>
          <w:b/>
          <w:iCs/>
          <w:lang w:val="pl-PL"/>
        </w:rPr>
        <w:t>.202</w:t>
      </w:r>
      <w:r w:rsidR="00552653">
        <w:rPr>
          <w:rFonts w:asciiTheme="minorHAnsi" w:hAnsiTheme="minorHAnsi" w:cstheme="minorHAnsi"/>
          <w:b/>
          <w:iCs/>
          <w:lang w:val="pl-PL"/>
        </w:rPr>
        <w:t>3</w:t>
      </w:r>
      <w:r w:rsidRPr="0000628E">
        <w:rPr>
          <w:rFonts w:asciiTheme="minorHAnsi" w:hAnsiTheme="minorHAnsi" w:cstheme="minorHAnsi"/>
          <w:b/>
          <w:iCs/>
          <w:lang w:val="pl-PL"/>
        </w:rPr>
        <w:t xml:space="preserve"> r. - do 31.12.202</w:t>
      </w:r>
      <w:r w:rsidR="00552653">
        <w:rPr>
          <w:rFonts w:asciiTheme="minorHAnsi" w:hAnsiTheme="minorHAnsi" w:cstheme="minorHAnsi"/>
          <w:b/>
          <w:iCs/>
          <w:lang w:val="pl-PL"/>
        </w:rPr>
        <w:t>3</w:t>
      </w:r>
      <w:r w:rsidRPr="0000628E">
        <w:rPr>
          <w:rFonts w:asciiTheme="minorHAnsi" w:hAnsiTheme="minorHAnsi" w:cstheme="minorHAnsi"/>
          <w:b/>
          <w:iCs/>
          <w:lang w:val="pl-PL"/>
        </w:rPr>
        <w:t xml:space="preserve"> r.</w:t>
      </w:r>
    </w:p>
    <w:p w14:paraId="44DD4BA5" w14:textId="77777777" w:rsidR="00DF1268" w:rsidRPr="0000628E" w:rsidRDefault="00DF1268" w:rsidP="0000628E">
      <w:pPr>
        <w:pStyle w:val="Gwka"/>
        <w:numPr>
          <w:ilvl w:val="0"/>
          <w:numId w:val="2"/>
        </w:numPr>
        <w:spacing w:line="360" w:lineRule="auto"/>
        <w:jc w:val="both"/>
        <w:rPr>
          <w:rFonts w:asciiTheme="minorHAnsi" w:hAnsiTheme="minorHAnsi" w:cstheme="minorHAnsi"/>
          <w:iCs/>
          <w:lang w:val="pl-PL"/>
        </w:rPr>
      </w:pPr>
      <w:r w:rsidRPr="0000628E">
        <w:rPr>
          <w:rFonts w:asciiTheme="minorHAnsi" w:hAnsiTheme="minorHAnsi" w:cstheme="minorHAnsi"/>
          <w:iCs/>
          <w:lang w:val="pl-PL"/>
        </w:rPr>
        <w:t>Niniejsze sprawozdanie finansowe zostało sporządzone przy założeniu kontynuowania działalności w dającej się przewidzieć przyszłości. Organizacja nie zamierza, ani nie musi, zaniechać działalności lub istotnie zmniejszyć jej zakresu. Zgodnie z wiedzą Zarządu Organizacji, nie istnieją okoliczności wskazujące na zagrożenie kontynuowania działalności przez jednostkę.</w:t>
      </w:r>
    </w:p>
    <w:p w14:paraId="4FB48DDF" w14:textId="7014C1A7" w:rsidR="0000628E" w:rsidRPr="0000628E" w:rsidRDefault="0000628E" w:rsidP="0000628E">
      <w:pPr>
        <w:pStyle w:val="Gwka"/>
        <w:numPr>
          <w:ilvl w:val="0"/>
          <w:numId w:val="2"/>
        </w:numPr>
        <w:spacing w:line="360" w:lineRule="auto"/>
        <w:jc w:val="both"/>
        <w:rPr>
          <w:rFonts w:asciiTheme="minorHAnsi" w:hAnsiTheme="minorHAnsi" w:cstheme="minorHAnsi"/>
          <w:iCs/>
          <w:lang w:val="pl-PL"/>
        </w:rPr>
      </w:pPr>
      <w:proofErr w:type="spellStart"/>
      <w:r>
        <w:rPr>
          <w:rFonts w:asciiTheme="minorHAnsi" w:hAnsiTheme="minorHAnsi" w:cstheme="minorHAnsi"/>
        </w:rPr>
        <w:t>O</w:t>
      </w:r>
      <w:r w:rsidR="00015346" w:rsidRPr="0000628E">
        <w:rPr>
          <w:rFonts w:asciiTheme="minorHAnsi" w:hAnsiTheme="minorHAnsi" w:cstheme="minorHAnsi"/>
        </w:rPr>
        <w:t>mówienie</w:t>
      </w:r>
      <w:proofErr w:type="spellEnd"/>
      <w:r w:rsidR="00015346" w:rsidRPr="0000628E">
        <w:rPr>
          <w:rFonts w:asciiTheme="minorHAnsi" w:hAnsiTheme="minorHAnsi" w:cstheme="minorHAnsi"/>
        </w:rPr>
        <w:t xml:space="preserve"> </w:t>
      </w:r>
      <w:proofErr w:type="spellStart"/>
      <w:r w:rsidR="00015346" w:rsidRPr="0000628E">
        <w:rPr>
          <w:rFonts w:asciiTheme="minorHAnsi" w:hAnsiTheme="minorHAnsi" w:cstheme="minorHAnsi"/>
        </w:rPr>
        <w:t>przyjętych</w:t>
      </w:r>
      <w:proofErr w:type="spellEnd"/>
      <w:r w:rsidR="00015346" w:rsidRPr="0000628E">
        <w:rPr>
          <w:rFonts w:asciiTheme="minorHAnsi" w:hAnsiTheme="minorHAnsi" w:cstheme="minorHAnsi"/>
        </w:rPr>
        <w:t xml:space="preserve"> </w:t>
      </w:r>
      <w:proofErr w:type="spellStart"/>
      <w:r w:rsidR="00015346" w:rsidRPr="0000628E">
        <w:rPr>
          <w:rFonts w:asciiTheme="minorHAnsi" w:hAnsiTheme="minorHAnsi" w:cstheme="minorHAnsi"/>
        </w:rPr>
        <w:t>zasad</w:t>
      </w:r>
      <w:proofErr w:type="spellEnd"/>
      <w:r w:rsidR="00015346" w:rsidRPr="0000628E">
        <w:rPr>
          <w:rFonts w:asciiTheme="minorHAnsi" w:hAnsiTheme="minorHAnsi" w:cstheme="minorHAnsi"/>
        </w:rPr>
        <w:t xml:space="preserve"> (</w:t>
      </w:r>
      <w:proofErr w:type="spellStart"/>
      <w:r w:rsidR="00015346" w:rsidRPr="0000628E">
        <w:rPr>
          <w:rFonts w:asciiTheme="minorHAnsi" w:hAnsiTheme="minorHAnsi" w:cstheme="minorHAnsi"/>
        </w:rPr>
        <w:t>polityki</w:t>
      </w:r>
      <w:proofErr w:type="spellEnd"/>
      <w:r w:rsidR="00015346" w:rsidRPr="0000628E">
        <w:rPr>
          <w:rFonts w:asciiTheme="minorHAnsi" w:hAnsiTheme="minorHAnsi" w:cstheme="minorHAnsi"/>
        </w:rPr>
        <w:t xml:space="preserve">) </w:t>
      </w:r>
      <w:proofErr w:type="spellStart"/>
      <w:r w:rsidR="00015346" w:rsidRPr="0000628E">
        <w:rPr>
          <w:rFonts w:asciiTheme="minorHAnsi" w:hAnsiTheme="minorHAnsi" w:cstheme="minorHAnsi"/>
        </w:rPr>
        <w:t>rachunkowości</w:t>
      </w:r>
      <w:proofErr w:type="spellEnd"/>
      <w:r w:rsidR="00015346" w:rsidRPr="0000628E">
        <w:rPr>
          <w:rFonts w:asciiTheme="minorHAnsi" w:hAnsiTheme="minorHAnsi" w:cstheme="minorHAnsi"/>
        </w:rPr>
        <w:t xml:space="preserve">, w </w:t>
      </w:r>
      <w:proofErr w:type="spellStart"/>
      <w:r w:rsidR="00015346" w:rsidRPr="0000628E">
        <w:rPr>
          <w:rFonts w:asciiTheme="minorHAnsi" w:hAnsiTheme="minorHAnsi" w:cstheme="minorHAnsi"/>
        </w:rPr>
        <w:t>tym</w:t>
      </w:r>
      <w:proofErr w:type="spellEnd"/>
      <w:r w:rsidR="00015346" w:rsidRPr="0000628E">
        <w:rPr>
          <w:rFonts w:asciiTheme="minorHAnsi" w:hAnsiTheme="minorHAnsi" w:cstheme="minorHAnsi"/>
        </w:rPr>
        <w:t xml:space="preserve"> </w:t>
      </w:r>
      <w:proofErr w:type="spellStart"/>
      <w:r w:rsidR="00015346" w:rsidRPr="0000628E">
        <w:rPr>
          <w:rFonts w:asciiTheme="minorHAnsi" w:hAnsiTheme="minorHAnsi" w:cstheme="minorHAnsi"/>
        </w:rPr>
        <w:t>metod</w:t>
      </w:r>
      <w:proofErr w:type="spellEnd"/>
      <w:r w:rsidR="00015346" w:rsidRPr="0000628E">
        <w:rPr>
          <w:rFonts w:asciiTheme="minorHAnsi" w:hAnsiTheme="minorHAnsi" w:cstheme="minorHAnsi"/>
        </w:rPr>
        <w:t xml:space="preserve"> wyceny aktywów i pasywów (także amortyzacji), ustalenia wyniku finansowego oraz sposobu sporządzenia sprawozdania finansowego w zakresie, w </w:t>
      </w:r>
      <w:proofErr w:type="spellStart"/>
      <w:r w:rsidR="00015346" w:rsidRPr="0000628E">
        <w:rPr>
          <w:rFonts w:asciiTheme="minorHAnsi" w:hAnsiTheme="minorHAnsi" w:cstheme="minorHAnsi"/>
        </w:rPr>
        <w:t>jakim</w:t>
      </w:r>
      <w:proofErr w:type="spellEnd"/>
      <w:r w:rsidR="00015346" w:rsidRPr="0000628E">
        <w:rPr>
          <w:rFonts w:asciiTheme="minorHAnsi" w:hAnsiTheme="minorHAnsi" w:cstheme="minorHAnsi"/>
        </w:rPr>
        <w:t xml:space="preserve"> </w:t>
      </w:r>
      <w:proofErr w:type="spellStart"/>
      <w:r w:rsidR="00015346" w:rsidRPr="0000628E">
        <w:rPr>
          <w:rFonts w:asciiTheme="minorHAnsi" w:hAnsiTheme="minorHAnsi" w:cstheme="minorHAnsi"/>
        </w:rPr>
        <w:t>ustawa</w:t>
      </w:r>
      <w:proofErr w:type="spellEnd"/>
      <w:r w:rsidR="00015346" w:rsidRPr="0000628E">
        <w:rPr>
          <w:rFonts w:asciiTheme="minorHAnsi" w:hAnsiTheme="minorHAnsi" w:cstheme="minorHAnsi"/>
        </w:rPr>
        <w:t xml:space="preserve"> </w:t>
      </w:r>
      <w:proofErr w:type="spellStart"/>
      <w:r w:rsidR="00015346" w:rsidRPr="0000628E">
        <w:rPr>
          <w:rFonts w:asciiTheme="minorHAnsi" w:hAnsiTheme="minorHAnsi" w:cstheme="minorHAnsi"/>
        </w:rPr>
        <w:t>pozostawia</w:t>
      </w:r>
      <w:proofErr w:type="spellEnd"/>
      <w:r w:rsidR="00015346" w:rsidRPr="0000628E">
        <w:rPr>
          <w:rFonts w:asciiTheme="minorHAnsi" w:hAnsiTheme="minorHAnsi" w:cstheme="minorHAnsi"/>
        </w:rPr>
        <w:t xml:space="preserve"> </w:t>
      </w:r>
      <w:proofErr w:type="spellStart"/>
      <w:r w:rsidR="00015346" w:rsidRPr="0000628E">
        <w:rPr>
          <w:rFonts w:asciiTheme="minorHAnsi" w:hAnsiTheme="minorHAnsi" w:cstheme="minorHAnsi"/>
        </w:rPr>
        <w:t>jednostce</w:t>
      </w:r>
      <w:proofErr w:type="spellEnd"/>
      <w:r w:rsidR="00015346" w:rsidRPr="0000628E">
        <w:rPr>
          <w:rFonts w:asciiTheme="minorHAnsi" w:hAnsiTheme="minorHAnsi" w:cstheme="minorHAnsi"/>
        </w:rPr>
        <w:t xml:space="preserve"> </w:t>
      </w:r>
      <w:proofErr w:type="spellStart"/>
      <w:r w:rsidR="00015346" w:rsidRPr="0000628E">
        <w:rPr>
          <w:rFonts w:asciiTheme="minorHAnsi" w:hAnsiTheme="minorHAnsi" w:cstheme="minorHAnsi"/>
        </w:rPr>
        <w:t>prawo</w:t>
      </w:r>
      <w:proofErr w:type="spellEnd"/>
      <w:r w:rsidR="00015346" w:rsidRPr="0000628E">
        <w:rPr>
          <w:rFonts w:asciiTheme="minorHAnsi" w:hAnsiTheme="minorHAnsi" w:cstheme="minorHAnsi"/>
        </w:rPr>
        <w:t xml:space="preserve"> </w:t>
      </w:r>
      <w:proofErr w:type="spellStart"/>
      <w:r w:rsidR="00015346" w:rsidRPr="0000628E">
        <w:rPr>
          <w:rFonts w:asciiTheme="minorHAnsi" w:hAnsiTheme="minorHAnsi" w:cstheme="minorHAnsi"/>
        </w:rPr>
        <w:t>wyboru</w:t>
      </w:r>
      <w:proofErr w:type="spellEnd"/>
      <w:r w:rsidR="00015346" w:rsidRPr="0000628E">
        <w:rPr>
          <w:rFonts w:asciiTheme="minorHAnsi" w:hAnsiTheme="minorHAnsi" w:cstheme="minorHAnsi"/>
        </w:rPr>
        <w:t>.</w:t>
      </w:r>
    </w:p>
    <w:p w14:paraId="41E88BD4" w14:textId="77777777" w:rsidR="0000628E" w:rsidRDefault="0000628E" w:rsidP="0000628E">
      <w:pPr>
        <w:pStyle w:val="Gwka"/>
        <w:spacing w:line="360" w:lineRule="auto"/>
        <w:ind w:left="360"/>
        <w:jc w:val="both"/>
        <w:rPr>
          <w:rFonts w:asciiTheme="minorHAnsi" w:hAnsiTheme="minorHAnsi" w:cstheme="minorHAnsi"/>
        </w:rPr>
      </w:pPr>
      <w:proofErr w:type="spellStart"/>
      <w:r w:rsidRPr="0000628E">
        <w:rPr>
          <w:rFonts w:asciiTheme="minorHAnsi" w:hAnsiTheme="minorHAnsi" w:cstheme="minorHAnsi"/>
        </w:rPr>
        <w:t>Stosownie</w:t>
      </w:r>
      <w:proofErr w:type="spellEnd"/>
      <w:r w:rsidRPr="0000628E">
        <w:rPr>
          <w:rFonts w:asciiTheme="minorHAnsi" w:hAnsiTheme="minorHAnsi" w:cstheme="minorHAnsi"/>
        </w:rPr>
        <w:t xml:space="preserve"> do </w:t>
      </w:r>
      <w:proofErr w:type="spellStart"/>
      <w:r w:rsidRPr="0000628E">
        <w:rPr>
          <w:rFonts w:asciiTheme="minorHAnsi" w:hAnsiTheme="minorHAnsi" w:cstheme="minorHAnsi"/>
        </w:rPr>
        <w:t>przepisu</w:t>
      </w:r>
      <w:proofErr w:type="spellEnd"/>
      <w:r w:rsidRPr="0000628E">
        <w:rPr>
          <w:rFonts w:asciiTheme="minorHAnsi" w:hAnsiTheme="minorHAnsi" w:cstheme="minorHAnsi"/>
        </w:rPr>
        <w:t xml:space="preserve"> art. 4 ust. 4 </w:t>
      </w:r>
      <w:proofErr w:type="spellStart"/>
      <w:r w:rsidRPr="0000628E">
        <w:rPr>
          <w:rFonts w:asciiTheme="minorHAnsi" w:hAnsiTheme="minorHAnsi" w:cstheme="minorHAnsi"/>
        </w:rPr>
        <w:t>u.o.r</w:t>
      </w:r>
      <w:proofErr w:type="spellEnd"/>
      <w:r w:rsidRPr="0000628E">
        <w:rPr>
          <w:rFonts w:asciiTheme="minorHAnsi" w:hAnsiTheme="minorHAnsi" w:cstheme="minorHAnsi"/>
        </w:rPr>
        <w:t>. jednostka stosuje następujące uproszczenia:</w:t>
      </w:r>
      <w:r w:rsidRPr="0000628E">
        <w:rPr>
          <w:rFonts w:asciiTheme="minorHAnsi" w:hAnsiTheme="minorHAnsi" w:cstheme="minorHAnsi"/>
        </w:rPr>
        <w:br/>
        <w:t xml:space="preserve">- organizacja, jako organizacja spełniająca kryteria określone w art. 3 ust. 1c pkt 1albo ust. 1d nie stosuje zgodnie z art. 7 ust. 2b </w:t>
      </w:r>
      <w:proofErr w:type="spellStart"/>
      <w:r w:rsidRPr="0000628E">
        <w:rPr>
          <w:rFonts w:asciiTheme="minorHAnsi" w:hAnsiTheme="minorHAnsi" w:cstheme="minorHAnsi"/>
        </w:rPr>
        <w:t>u.o.r</w:t>
      </w:r>
      <w:proofErr w:type="spellEnd"/>
      <w:r w:rsidRPr="0000628E">
        <w:rPr>
          <w:rFonts w:asciiTheme="minorHAnsi" w:hAnsiTheme="minorHAnsi" w:cstheme="minorHAnsi"/>
        </w:rPr>
        <w:t>. zasady ostrożności. W szczególności nie dokonuje odpisów aktualizacyjnych środków trwałych i wartości niematerialnych i prawnych oraz należności oraz nie tworzy rezerw;</w:t>
      </w:r>
      <w:r w:rsidRPr="0000628E">
        <w:rPr>
          <w:rFonts w:asciiTheme="minorHAnsi" w:hAnsiTheme="minorHAnsi" w:cstheme="minorHAnsi"/>
        </w:rPr>
        <w:br/>
        <w:t xml:space="preserve">- organizacja jako jednostka spełniająca kryteria określone w art. 3 ust. 1c pkt 1 albo ust. 1d zgodnie z art. 39 </w:t>
      </w:r>
      <w:proofErr w:type="spellStart"/>
      <w:r w:rsidRPr="0000628E">
        <w:rPr>
          <w:rFonts w:asciiTheme="minorHAnsi" w:hAnsiTheme="minorHAnsi" w:cstheme="minorHAnsi"/>
        </w:rPr>
        <w:t>ust</w:t>
      </w:r>
      <w:proofErr w:type="spellEnd"/>
      <w:r w:rsidRPr="0000628E">
        <w:rPr>
          <w:rFonts w:asciiTheme="minorHAnsi" w:hAnsiTheme="minorHAnsi" w:cstheme="minorHAnsi"/>
        </w:rPr>
        <w:t xml:space="preserve"> 6 </w:t>
      </w:r>
      <w:proofErr w:type="spellStart"/>
      <w:r w:rsidRPr="0000628E">
        <w:rPr>
          <w:rFonts w:asciiTheme="minorHAnsi" w:hAnsiTheme="minorHAnsi" w:cstheme="minorHAnsi"/>
        </w:rPr>
        <w:t>u.o.r</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rezygnuje</w:t>
      </w:r>
      <w:proofErr w:type="spellEnd"/>
      <w:r w:rsidRPr="0000628E">
        <w:rPr>
          <w:rFonts w:asciiTheme="minorHAnsi" w:hAnsiTheme="minorHAnsi" w:cstheme="minorHAnsi"/>
        </w:rPr>
        <w:t xml:space="preserve"> z </w:t>
      </w:r>
      <w:proofErr w:type="spellStart"/>
      <w:r w:rsidRPr="0000628E">
        <w:rPr>
          <w:rFonts w:asciiTheme="minorHAnsi" w:hAnsiTheme="minorHAnsi" w:cstheme="minorHAnsi"/>
        </w:rPr>
        <w:t>tworzenia</w:t>
      </w:r>
      <w:proofErr w:type="spellEnd"/>
      <w:r w:rsidRPr="0000628E">
        <w:rPr>
          <w:rFonts w:asciiTheme="minorHAnsi" w:hAnsiTheme="minorHAnsi" w:cstheme="minorHAnsi"/>
        </w:rPr>
        <w:t xml:space="preserve"> rozliczeń międzyokresowych biernych kosztów dotyczących przyszłych świadczeń na </w:t>
      </w:r>
      <w:proofErr w:type="spellStart"/>
      <w:r w:rsidRPr="0000628E">
        <w:rPr>
          <w:rFonts w:asciiTheme="minorHAnsi" w:hAnsiTheme="minorHAnsi" w:cstheme="minorHAnsi"/>
        </w:rPr>
        <w:t>rzecz</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pracowników</w:t>
      </w:r>
      <w:proofErr w:type="spellEnd"/>
      <w:r w:rsidRPr="0000628E">
        <w:rPr>
          <w:rFonts w:asciiTheme="minorHAnsi" w:hAnsiTheme="minorHAnsi" w:cstheme="minorHAnsi"/>
        </w:rPr>
        <w:t xml:space="preserve">, w </w:t>
      </w:r>
      <w:proofErr w:type="spellStart"/>
      <w:r w:rsidRPr="0000628E">
        <w:rPr>
          <w:rFonts w:asciiTheme="minorHAnsi" w:hAnsiTheme="minorHAnsi" w:cstheme="minorHAnsi"/>
        </w:rPr>
        <w:t>tym</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świadczeń</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emerytalnych</w:t>
      </w:r>
      <w:proofErr w:type="spellEnd"/>
      <w:r w:rsidRPr="0000628E">
        <w:rPr>
          <w:rFonts w:asciiTheme="minorHAnsi" w:hAnsiTheme="minorHAnsi" w:cstheme="minorHAnsi"/>
        </w:rPr>
        <w:t>;</w:t>
      </w:r>
    </w:p>
    <w:p w14:paraId="7CB196BD" w14:textId="77777777" w:rsidR="0000628E" w:rsidRDefault="0000628E" w:rsidP="0000628E">
      <w:pPr>
        <w:pStyle w:val="Gwka"/>
        <w:spacing w:line="360" w:lineRule="auto"/>
        <w:ind w:left="360"/>
        <w:jc w:val="both"/>
        <w:rPr>
          <w:rFonts w:asciiTheme="minorHAnsi" w:hAnsiTheme="minorHAnsi" w:cstheme="minorHAnsi"/>
        </w:rPr>
      </w:pPr>
      <w:r w:rsidRPr="0000628E">
        <w:rPr>
          <w:rFonts w:asciiTheme="minorHAnsi" w:hAnsiTheme="minorHAnsi" w:cstheme="minorHAnsi"/>
        </w:rPr>
        <w:t xml:space="preserve">- </w:t>
      </w:r>
      <w:proofErr w:type="spellStart"/>
      <w:r w:rsidRPr="0000628E">
        <w:rPr>
          <w:rFonts w:asciiTheme="minorHAnsi" w:hAnsiTheme="minorHAnsi" w:cstheme="minorHAnsi"/>
        </w:rPr>
        <w:t>organizacja</w:t>
      </w:r>
      <w:proofErr w:type="spellEnd"/>
      <w:r w:rsidRPr="0000628E">
        <w:rPr>
          <w:rFonts w:asciiTheme="minorHAnsi" w:hAnsiTheme="minorHAnsi" w:cstheme="minorHAnsi"/>
        </w:rPr>
        <w:t xml:space="preserve"> nie </w:t>
      </w:r>
      <w:proofErr w:type="spellStart"/>
      <w:r w:rsidRPr="0000628E">
        <w:rPr>
          <w:rFonts w:asciiTheme="minorHAnsi" w:hAnsiTheme="minorHAnsi" w:cstheme="minorHAnsi"/>
        </w:rPr>
        <w:t>wykorzystuje</w:t>
      </w:r>
      <w:proofErr w:type="spellEnd"/>
      <w:r w:rsidRPr="0000628E">
        <w:rPr>
          <w:rFonts w:asciiTheme="minorHAnsi" w:hAnsiTheme="minorHAnsi" w:cstheme="minorHAnsi"/>
        </w:rPr>
        <w:t xml:space="preserve"> do wyceny aktywów i pasywów skorygowanej ceny nabycia i wartości godziwej;</w:t>
      </w:r>
      <w:r w:rsidRPr="0000628E">
        <w:rPr>
          <w:rFonts w:asciiTheme="minorHAnsi" w:hAnsiTheme="minorHAnsi" w:cstheme="minorHAnsi"/>
        </w:rPr>
        <w:br/>
        <w:t>Środki trwałe oraz wartości niematerialne i prawne wycenia się wg cen nabycia (lub kosztów wytworzenia) pomniejszonych o odpisy amortyzacyjne oraz odpisy z tytułu trwałej utraty wartości. Amortyzacja naliczana jest na koniec roku obrotowego w wysokości proporcjonalnej do okresu używania.</w:t>
      </w:r>
      <w:r w:rsidRPr="0000628E">
        <w:rPr>
          <w:rFonts w:asciiTheme="minorHAnsi" w:hAnsiTheme="minorHAnsi" w:cstheme="minorHAnsi"/>
        </w:rPr>
        <w:br/>
        <w:t>Środki trwałe oraz wartości niematerialne i prawne zalicza się do aktywów trwałych, jeżeli okres ich użyteczności jest dłuższy niż rok a wartość wyniesie ponad 10 000,00 zł.</w:t>
      </w:r>
      <w:r w:rsidRPr="0000628E">
        <w:rPr>
          <w:rFonts w:asciiTheme="minorHAnsi" w:hAnsiTheme="minorHAnsi" w:cstheme="minorHAnsi"/>
        </w:rPr>
        <w:br/>
        <w:t>Środki trwałe w budowie wycenia się w wysokości ogółu kosztów pozostających w bezpośrednim związku z ich nabyciem lub wytworzeniem, pomniejszonych o odpisy z tytułu trwałej utraty wartości.</w:t>
      </w:r>
      <w:r w:rsidRPr="0000628E">
        <w:rPr>
          <w:rFonts w:asciiTheme="minorHAnsi" w:hAnsiTheme="minorHAnsi" w:cstheme="minorHAnsi"/>
        </w:rPr>
        <w:br/>
        <w:t>Rzeczowe składniki aktywów obrotowych wycenia się stosując rzeczywiście poniesione na ich nabycie koszty,</w:t>
      </w:r>
      <w:r w:rsidRPr="0000628E">
        <w:rPr>
          <w:rFonts w:asciiTheme="minorHAnsi" w:hAnsiTheme="minorHAnsi" w:cstheme="minorHAnsi"/>
        </w:rPr>
        <w:br/>
        <w:t>Inwestycje długoterminowe i krótkoterminowe wycenia się wg wartości nominalnej (lokaty, środki pieniężne).</w:t>
      </w:r>
      <w:r w:rsidRPr="0000628E">
        <w:rPr>
          <w:rFonts w:asciiTheme="minorHAnsi" w:hAnsiTheme="minorHAnsi" w:cstheme="minorHAnsi"/>
        </w:rPr>
        <w:br/>
        <w:t xml:space="preserve">Kapitały i fundusze </w:t>
      </w:r>
      <w:proofErr w:type="spellStart"/>
      <w:r w:rsidRPr="0000628E">
        <w:rPr>
          <w:rFonts w:asciiTheme="minorHAnsi" w:hAnsiTheme="minorHAnsi" w:cstheme="minorHAnsi"/>
        </w:rPr>
        <w:t>własne</w:t>
      </w:r>
      <w:proofErr w:type="spellEnd"/>
      <w:r w:rsidRPr="0000628E">
        <w:rPr>
          <w:rFonts w:asciiTheme="minorHAnsi" w:hAnsiTheme="minorHAnsi" w:cstheme="minorHAnsi"/>
        </w:rPr>
        <w:t xml:space="preserve"> – w </w:t>
      </w:r>
      <w:proofErr w:type="spellStart"/>
      <w:r w:rsidRPr="0000628E">
        <w:rPr>
          <w:rFonts w:asciiTheme="minorHAnsi" w:hAnsiTheme="minorHAnsi" w:cstheme="minorHAnsi"/>
        </w:rPr>
        <w:t>wartości</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nominalnej</w:t>
      </w:r>
      <w:proofErr w:type="spellEnd"/>
    </w:p>
    <w:p w14:paraId="224BCFD2" w14:textId="77777777" w:rsidR="0000628E" w:rsidRDefault="0000628E" w:rsidP="0000628E">
      <w:pPr>
        <w:pStyle w:val="Gwka"/>
        <w:spacing w:line="360" w:lineRule="auto"/>
        <w:ind w:left="360"/>
        <w:jc w:val="both"/>
        <w:rPr>
          <w:rFonts w:asciiTheme="minorHAnsi" w:hAnsiTheme="minorHAnsi" w:cstheme="minorHAnsi"/>
        </w:rPr>
      </w:pPr>
      <w:proofErr w:type="spellStart"/>
      <w:r w:rsidRPr="0000628E">
        <w:rPr>
          <w:rFonts w:asciiTheme="minorHAnsi" w:hAnsiTheme="minorHAnsi" w:cstheme="minorHAnsi"/>
        </w:rPr>
        <w:t>Należności</w:t>
      </w:r>
      <w:proofErr w:type="spellEnd"/>
      <w:r w:rsidRPr="0000628E">
        <w:rPr>
          <w:rFonts w:asciiTheme="minorHAnsi" w:hAnsiTheme="minorHAnsi" w:cstheme="minorHAnsi"/>
        </w:rPr>
        <w:t xml:space="preserve"> i </w:t>
      </w:r>
      <w:proofErr w:type="spellStart"/>
      <w:r w:rsidRPr="0000628E">
        <w:rPr>
          <w:rFonts w:asciiTheme="minorHAnsi" w:hAnsiTheme="minorHAnsi" w:cstheme="minorHAnsi"/>
        </w:rPr>
        <w:t>zobowiązania</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wycenia</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się</w:t>
      </w:r>
      <w:proofErr w:type="spellEnd"/>
      <w:r w:rsidRPr="0000628E">
        <w:rPr>
          <w:rFonts w:asciiTheme="minorHAnsi" w:hAnsiTheme="minorHAnsi" w:cstheme="minorHAnsi"/>
        </w:rPr>
        <w:t xml:space="preserve"> w </w:t>
      </w:r>
      <w:proofErr w:type="spellStart"/>
      <w:r w:rsidRPr="0000628E">
        <w:rPr>
          <w:rFonts w:asciiTheme="minorHAnsi" w:hAnsiTheme="minorHAnsi" w:cstheme="minorHAnsi"/>
        </w:rPr>
        <w:t>kwocie</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wymaganej</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zapłaty</w:t>
      </w:r>
      <w:proofErr w:type="spellEnd"/>
      <w:r w:rsidRPr="0000628E">
        <w:rPr>
          <w:rFonts w:asciiTheme="minorHAnsi" w:hAnsiTheme="minorHAnsi" w:cstheme="minorHAnsi"/>
        </w:rPr>
        <w:t>.</w:t>
      </w:r>
    </w:p>
    <w:p w14:paraId="0B6D5290" w14:textId="77777777" w:rsidR="0000628E" w:rsidRDefault="0000628E" w:rsidP="0000628E">
      <w:pPr>
        <w:pStyle w:val="Gwka"/>
        <w:spacing w:line="360" w:lineRule="auto"/>
        <w:ind w:left="360"/>
        <w:jc w:val="both"/>
        <w:rPr>
          <w:rFonts w:asciiTheme="minorHAnsi" w:hAnsiTheme="minorHAnsi" w:cstheme="minorHAnsi"/>
        </w:rPr>
      </w:pPr>
      <w:proofErr w:type="spellStart"/>
      <w:r w:rsidRPr="0000628E">
        <w:rPr>
          <w:rFonts w:asciiTheme="minorHAnsi" w:hAnsiTheme="minorHAnsi" w:cstheme="minorHAnsi"/>
        </w:rPr>
        <w:lastRenderedPageBreak/>
        <w:t>Rozliczenia</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międzyokresowe</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aktywów</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obejmują</w:t>
      </w:r>
      <w:proofErr w:type="spellEnd"/>
      <w:r w:rsidRPr="0000628E">
        <w:rPr>
          <w:rFonts w:asciiTheme="minorHAnsi" w:hAnsiTheme="minorHAnsi" w:cstheme="minorHAnsi"/>
        </w:rPr>
        <w:t xml:space="preserve"> kwotę wydatków które dotyczą przychodów następnego okresu rozliczeniowego rozliczanych z otrzymanych dotacji, </w:t>
      </w:r>
      <w:proofErr w:type="spellStart"/>
      <w:r w:rsidRPr="0000628E">
        <w:rPr>
          <w:rFonts w:asciiTheme="minorHAnsi" w:hAnsiTheme="minorHAnsi" w:cstheme="minorHAnsi"/>
        </w:rPr>
        <w:t>za</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które</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zapłata</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nastąpi</w:t>
      </w:r>
      <w:proofErr w:type="spellEnd"/>
      <w:r w:rsidRPr="0000628E">
        <w:rPr>
          <w:rFonts w:asciiTheme="minorHAnsi" w:hAnsiTheme="minorHAnsi" w:cstheme="minorHAnsi"/>
        </w:rPr>
        <w:t xml:space="preserve"> w </w:t>
      </w:r>
      <w:proofErr w:type="spellStart"/>
      <w:r w:rsidRPr="0000628E">
        <w:rPr>
          <w:rFonts w:asciiTheme="minorHAnsi" w:hAnsiTheme="minorHAnsi" w:cstheme="minorHAnsi"/>
        </w:rPr>
        <w:t>następnym</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roku</w:t>
      </w:r>
      <w:proofErr w:type="spellEnd"/>
      <w:r w:rsidRPr="0000628E">
        <w:rPr>
          <w:rFonts w:asciiTheme="minorHAnsi" w:hAnsiTheme="minorHAnsi" w:cstheme="minorHAnsi"/>
        </w:rPr>
        <w:t>.</w:t>
      </w:r>
    </w:p>
    <w:p w14:paraId="388183E0" w14:textId="77777777" w:rsidR="0000628E" w:rsidRDefault="0000628E" w:rsidP="0000628E">
      <w:pPr>
        <w:pStyle w:val="Gwka"/>
        <w:spacing w:line="360" w:lineRule="auto"/>
        <w:ind w:left="360"/>
        <w:jc w:val="both"/>
        <w:rPr>
          <w:rFonts w:asciiTheme="minorHAnsi" w:hAnsiTheme="minorHAnsi" w:cstheme="minorHAnsi"/>
        </w:rPr>
      </w:pPr>
      <w:proofErr w:type="spellStart"/>
      <w:r w:rsidRPr="0000628E">
        <w:rPr>
          <w:rFonts w:asciiTheme="minorHAnsi" w:hAnsiTheme="minorHAnsi" w:cstheme="minorHAnsi"/>
        </w:rPr>
        <w:t>Rozliczenia</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międzyokresowe</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przychodów</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obejmują</w:t>
      </w:r>
      <w:proofErr w:type="spellEnd"/>
      <w:r>
        <w:rPr>
          <w:rFonts w:asciiTheme="minorHAnsi" w:hAnsiTheme="minorHAnsi" w:cstheme="minorHAnsi"/>
        </w:rPr>
        <w:t xml:space="preserve"> </w:t>
      </w:r>
      <w:proofErr w:type="spellStart"/>
      <w:r w:rsidRPr="0000628E">
        <w:rPr>
          <w:rFonts w:asciiTheme="minorHAnsi" w:hAnsiTheme="minorHAnsi" w:cstheme="minorHAnsi"/>
        </w:rPr>
        <w:t>równowartość</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otrzymanych</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od</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odbiorców</w:t>
      </w:r>
      <w:proofErr w:type="spellEnd"/>
      <w:r w:rsidRPr="0000628E">
        <w:rPr>
          <w:rFonts w:asciiTheme="minorHAnsi" w:hAnsiTheme="minorHAnsi" w:cstheme="minorHAnsi"/>
        </w:rPr>
        <w:t xml:space="preserve"> lub należnych środków z tytułu świadczeń, których wykonanie nastąpi w przyszłych okresach sprawozdawczych,</w:t>
      </w:r>
      <w:r w:rsidRPr="0000628E">
        <w:rPr>
          <w:rFonts w:asciiTheme="minorHAnsi" w:hAnsiTheme="minorHAnsi" w:cstheme="minorHAnsi"/>
        </w:rPr>
        <w:br/>
        <w:t xml:space="preserve">- otrzymane środki pieniężne na sfinansowanie nabycia lub wytworzenia środków trwałych, w tym środków </w:t>
      </w:r>
      <w:proofErr w:type="spellStart"/>
      <w:r w:rsidRPr="0000628E">
        <w:rPr>
          <w:rFonts w:asciiTheme="minorHAnsi" w:hAnsiTheme="minorHAnsi" w:cstheme="minorHAnsi"/>
        </w:rPr>
        <w:t>trwałych</w:t>
      </w:r>
      <w:proofErr w:type="spellEnd"/>
      <w:r w:rsidRPr="0000628E">
        <w:rPr>
          <w:rFonts w:asciiTheme="minorHAnsi" w:hAnsiTheme="minorHAnsi" w:cstheme="minorHAnsi"/>
        </w:rPr>
        <w:t xml:space="preserve"> w </w:t>
      </w:r>
      <w:proofErr w:type="spellStart"/>
      <w:r w:rsidRPr="0000628E">
        <w:rPr>
          <w:rFonts w:asciiTheme="minorHAnsi" w:hAnsiTheme="minorHAnsi" w:cstheme="minorHAnsi"/>
        </w:rPr>
        <w:t>budowie</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zaliczone</w:t>
      </w:r>
      <w:proofErr w:type="spellEnd"/>
      <w:r w:rsidRPr="0000628E">
        <w:rPr>
          <w:rFonts w:asciiTheme="minorHAnsi" w:hAnsiTheme="minorHAnsi" w:cstheme="minorHAnsi"/>
        </w:rPr>
        <w:t xml:space="preserve"> do </w:t>
      </w:r>
      <w:proofErr w:type="spellStart"/>
      <w:r w:rsidRPr="0000628E">
        <w:rPr>
          <w:rFonts w:asciiTheme="minorHAnsi" w:hAnsiTheme="minorHAnsi" w:cstheme="minorHAnsi"/>
        </w:rPr>
        <w:t>rozliczeń</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międzyokresowych</w:t>
      </w:r>
      <w:proofErr w:type="spellEnd"/>
      <w:r w:rsidRPr="0000628E">
        <w:rPr>
          <w:rFonts w:asciiTheme="minorHAnsi" w:hAnsiTheme="minorHAnsi" w:cstheme="minorHAnsi"/>
        </w:rPr>
        <w:t xml:space="preserve"> przychodów kwoty zwiększają równolegle do odpisów amortyzacyjnych- umorzeniowych pozostałe przychody operacyjne; do środków trwałych i kosztów prac rozwojowych sfinansowanych z tych źródeł zasady te stosuje się odpowiednio w odniesieniu także do przyjętych nieodpłatnie (także w formie darowizny) środków trwałych, środków trwałych w </w:t>
      </w:r>
      <w:proofErr w:type="spellStart"/>
      <w:r w:rsidRPr="0000628E">
        <w:rPr>
          <w:rFonts w:asciiTheme="minorHAnsi" w:hAnsiTheme="minorHAnsi" w:cstheme="minorHAnsi"/>
        </w:rPr>
        <w:t>budowie</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oraz</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wartości</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niematerialnych</w:t>
      </w:r>
      <w:proofErr w:type="spellEnd"/>
      <w:r w:rsidRPr="0000628E">
        <w:rPr>
          <w:rFonts w:asciiTheme="minorHAnsi" w:hAnsiTheme="minorHAnsi" w:cstheme="minorHAnsi"/>
        </w:rPr>
        <w:t xml:space="preserve"> i </w:t>
      </w:r>
      <w:proofErr w:type="spellStart"/>
      <w:r w:rsidRPr="0000628E">
        <w:rPr>
          <w:rFonts w:asciiTheme="minorHAnsi" w:hAnsiTheme="minorHAnsi" w:cstheme="minorHAnsi"/>
        </w:rPr>
        <w:t>prawnych</w:t>
      </w:r>
      <w:proofErr w:type="spellEnd"/>
      <w:r w:rsidRPr="0000628E">
        <w:rPr>
          <w:rFonts w:asciiTheme="minorHAnsi" w:hAnsiTheme="minorHAnsi" w:cstheme="minorHAnsi"/>
        </w:rPr>
        <w:t>.</w:t>
      </w:r>
    </w:p>
    <w:p w14:paraId="14AE4703" w14:textId="44F320A5" w:rsidR="0000628E" w:rsidRDefault="0000628E" w:rsidP="0000628E">
      <w:pPr>
        <w:pStyle w:val="Gwka"/>
        <w:spacing w:line="360" w:lineRule="auto"/>
        <w:ind w:left="360"/>
        <w:jc w:val="both"/>
        <w:rPr>
          <w:rFonts w:asciiTheme="minorHAnsi" w:hAnsiTheme="minorHAnsi" w:cstheme="minorHAnsi"/>
        </w:rPr>
      </w:pPr>
      <w:proofErr w:type="spellStart"/>
      <w:r w:rsidRPr="0000628E">
        <w:rPr>
          <w:rFonts w:asciiTheme="minorHAnsi" w:hAnsiTheme="minorHAnsi" w:cstheme="minorHAnsi"/>
        </w:rPr>
        <w:t>Składniki</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aktywów</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wyrażonych</w:t>
      </w:r>
      <w:proofErr w:type="spellEnd"/>
      <w:r w:rsidRPr="0000628E">
        <w:rPr>
          <w:rFonts w:asciiTheme="minorHAnsi" w:hAnsiTheme="minorHAnsi" w:cstheme="minorHAnsi"/>
        </w:rPr>
        <w:t xml:space="preserve"> w walutach obcych wyceniane są po obowiązującym na ten dzień średnim kursie ogłoszonym </w:t>
      </w:r>
      <w:proofErr w:type="spellStart"/>
      <w:r w:rsidRPr="0000628E">
        <w:rPr>
          <w:rFonts w:asciiTheme="minorHAnsi" w:hAnsiTheme="minorHAnsi" w:cstheme="minorHAnsi"/>
        </w:rPr>
        <w:t>dla</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danej</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waluty</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przez</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Narodowy</w:t>
      </w:r>
      <w:proofErr w:type="spellEnd"/>
      <w:r w:rsidRPr="0000628E">
        <w:rPr>
          <w:rFonts w:asciiTheme="minorHAnsi" w:hAnsiTheme="minorHAnsi" w:cstheme="minorHAnsi"/>
        </w:rPr>
        <w:t xml:space="preserve"> Bank </w:t>
      </w:r>
      <w:proofErr w:type="spellStart"/>
      <w:r w:rsidRPr="0000628E">
        <w:rPr>
          <w:rFonts w:asciiTheme="minorHAnsi" w:hAnsiTheme="minorHAnsi" w:cstheme="minorHAnsi"/>
        </w:rPr>
        <w:t>Polski</w:t>
      </w:r>
      <w:proofErr w:type="spellEnd"/>
      <w:r w:rsidRPr="0000628E">
        <w:rPr>
          <w:rFonts w:asciiTheme="minorHAnsi" w:hAnsiTheme="minorHAnsi" w:cstheme="minorHAnsi"/>
        </w:rPr>
        <w:t>.</w:t>
      </w:r>
    </w:p>
    <w:p w14:paraId="089E06BC" w14:textId="7CE6FFE0" w:rsidR="0000628E" w:rsidRPr="0000628E" w:rsidRDefault="0000628E" w:rsidP="0000628E">
      <w:pPr>
        <w:pStyle w:val="Gwka"/>
        <w:spacing w:line="360" w:lineRule="auto"/>
        <w:ind w:left="360"/>
        <w:jc w:val="both"/>
        <w:rPr>
          <w:rFonts w:asciiTheme="minorHAnsi" w:hAnsiTheme="minorHAnsi" w:cstheme="minorHAnsi"/>
        </w:rPr>
      </w:pPr>
      <w:proofErr w:type="spellStart"/>
      <w:r>
        <w:rPr>
          <w:rFonts w:asciiTheme="minorHAnsi" w:hAnsiTheme="minorHAnsi" w:cstheme="minorHAnsi"/>
        </w:rPr>
        <w:t>Z</w:t>
      </w:r>
      <w:r w:rsidRPr="0000628E">
        <w:rPr>
          <w:rFonts w:asciiTheme="minorHAnsi" w:hAnsiTheme="minorHAnsi" w:cstheme="minorHAnsi"/>
        </w:rPr>
        <w:t>asady</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rachunkowości</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przyjęte</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przy</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sporządzaniu</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sprawozdania</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finansowego</w:t>
      </w:r>
      <w:proofErr w:type="spellEnd"/>
      <w:r w:rsidRPr="0000628E">
        <w:rPr>
          <w:rFonts w:asciiTheme="minorHAnsi" w:hAnsiTheme="minorHAnsi" w:cstheme="minorHAnsi"/>
        </w:rPr>
        <w:t xml:space="preserve"> </w:t>
      </w:r>
      <w:proofErr w:type="spellStart"/>
      <w:r w:rsidRPr="0000628E">
        <w:rPr>
          <w:rFonts w:asciiTheme="minorHAnsi" w:hAnsiTheme="minorHAnsi" w:cstheme="minorHAnsi"/>
        </w:rPr>
        <w:t>są</w:t>
      </w:r>
      <w:proofErr w:type="spellEnd"/>
      <w:r w:rsidRPr="0000628E">
        <w:rPr>
          <w:rFonts w:asciiTheme="minorHAnsi" w:hAnsiTheme="minorHAnsi" w:cstheme="minorHAnsi"/>
        </w:rPr>
        <w:t xml:space="preserve"> zgodne z aktualnie obowiązującą ustawą o rachunkowości, zwaną dalej Ustawą, która określa między innymi zasady rachunkowości dla jednostek mających siedzibę lub miejsce sprawowania zarządu na terytorium Rzeczypospolitej Polskiej. Stowarzyszenie nie prowadzi działalności gospodarczej. Sprawozdanie finansowe sporządza się zgodnie z zasadą memoriału, tzn. skutki transakcji innych zdarzeń ujmuje się z chwilą wystąpienia a nie z chwilą zapłaty oraz ujmuje się je w sprawozdaniu finansowym okresu, którego dotyczą.</w:t>
      </w:r>
    </w:p>
    <w:p w14:paraId="3175090E" w14:textId="77777777" w:rsidR="0000628E" w:rsidRPr="0000628E" w:rsidRDefault="0000628E" w:rsidP="0000628E">
      <w:pPr>
        <w:pStyle w:val="NormalnyWeb"/>
        <w:numPr>
          <w:ilvl w:val="0"/>
          <w:numId w:val="2"/>
        </w:numPr>
        <w:spacing w:line="360" w:lineRule="auto"/>
        <w:rPr>
          <w:rFonts w:asciiTheme="minorHAnsi" w:hAnsiTheme="minorHAnsi" w:cstheme="minorHAnsi"/>
          <w:sz w:val="20"/>
          <w:szCs w:val="20"/>
        </w:rPr>
      </w:pPr>
      <w:r w:rsidRPr="0000628E">
        <w:rPr>
          <w:rFonts w:asciiTheme="minorHAnsi" w:hAnsiTheme="minorHAnsi" w:cstheme="minorHAnsi"/>
          <w:sz w:val="20"/>
          <w:szCs w:val="20"/>
        </w:rPr>
        <w:t>Jednostka sporządza sprawozdanie finansowe zgodnie z Załącznikiem nr 6 Ustawy o rachunkowości.</w:t>
      </w:r>
    </w:p>
    <w:p w14:paraId="43A428E5" w14:textId="619E1525" w:rsidR="00015346" w:rsidRPr="0000628E" w:rsidRDefault="00015346" w:rsidP="0000628E">
      <w:pPr>
        <w:spacing w:line="360" w:lineRule="auto"/>
        <w:ind w:left="360"/>
        <w:rPr>
          <w:rFonts w:cstheme="minorHAnsi"/>
          <w:sz w:val="20"/>
          <w:szCs w:val="20"/>
        </w:rPr>
      </w:pPr>
    </w:p>
    <w:sectPr w:rsidR="00015346" w:rsidRPr="00006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3667"/>
    <w:multiLevelType w:val="hybridMultilevel"/>
    <w:tmpl w:val="8EACE4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E9C2EF4"/>
    <w:multiLevelType w:val="hybridMultilevel"/>
    <w:tmpl w:val="3BFEFD1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3341665">
    <w:abstractNumId w:val="1"/>
  </w:num>
  <w:num w:numId="2" w16cid:durableId="192710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46"/>
    <w:rsid w:val="0000628E"/>
    <w:rsid w:val="00015346"/>
    <w:rsid w:val="0014735F"/>
    <w:rsid w:val="00517066"/>
    <w:rsid w:val="00552653"/>
    <w:rsid w:val="00687BC6"/>
    <w:rsid w:val="00DF1268"/>
    <w:rsid w:val="00EA72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D6B0"/>
  <w15:chartTrackingRefBased/>
  <w15:docId w15:val="{EECB4D34-9B0C-4B1F-9064-B16ED6D2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15346"/>
    <w:pPr>
      <w:ind w:left="720"/>
      <w:contextualSpacing/>
    </w:pPr>
  </w:style>
  <w:style w:type="paragraph" w:customStyle="1" w:styleId="Gwka">
    <w:name w:val="Główka"/>
    <w:basedOn w:val="Normalny"/>
    <w:rsid w:val="00DF1268"/>
    <w:pPr>
      <w:widowControl w:val="0"/>
      <w:tabs>
        <w:tab w:val="center" w:pos="4536"/>
        <w:tab w:val="right" w:pos="9072"/>
      </w:tabs>
      <w:suppressAutoHyphens/>
      <w:spacing w:after="0" w:line="240" w:lineRule="auto"/>
    </w:pPr>
    <w:rPr>
      <w:rFonts w:ascii="Times New Roman" w:eastAsia="Andale Sans UI" w:hAnsi="Times New Roman" w:cs="Tahoma"/>
      <w:kern w:val="0"/>
      <w:sz w:val="20"/>
      <w:szCs w:val="20"/>
      <w:lang w:val="de-DE" w:eastAsia="ja-JP" w:bidi="fa-IR"/>
      <w14:ligatures w14:val="none"/>
    </w:rPr>
  </w:style>
  <w:style w:type="paragraph" w:styleId="NormalnyWeb">
    <w:name w:val="Normal (Web)"/>
    <w:basedOn w:val="Normalny"/>
    <w:uiPriority w:val="99"/>
    <w:semiHidden/>
    <w:unhideWhenUsed/>
    <w:rsid w:val="0000628E"/>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83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3815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Kasiaz Zawada</dc:creator>
  <cp:keywords/>
  <dc:description/>
  <cp:lastModifiedBy>Kasiaz Zawada</cp:lastModifiedBy>
  <cp:revision>2</cp:revision>
  <dcterms:created xsi:type="dcterms:W3CDTF">2024-02-08T14:52:00Z</dcterms:created>
  <dcterms:modified xsi:type="dcterms:W3CDTF">2024-02-08T14:52:00Z</dcterms:modified>
</cp:coreProperties>
</file>