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Wymagania edukacyjne na poszczególne oceny z matematyki w klasie </w:t>
      </w:r>
      <w:r>
        <w:rPr>
          <w:rFonts w:ascii="Times New Roman" w:hAnsi="Times New Roman"/>
          <w:b/>
          <w:bCs/>
        </w:rPr>
        <w:t>8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32"/>
        </w:rPr>
        <w:t>Program Matematyka z kluczem dla klas 4 – 8 (Nowa Era)</w:t>
      </w:r>
    </w:p>
    <w:p>
      <w:pPr>
        <w:pStyle w:val="Normal"/>
        <w:autoSpaceDE w:val="false"/>
        <w:jc w:val="both"/>
        <w:rPr>
          <w:rFonts w:ascii="Times New Roman" w:hAnsi="Times New Roman" w:cs="Cambria"/>
          <w:b/>
          <w:b/>
          <w:bCs/>
          <w:color w:val="000000"/>
          <w:sz w:val="20"/>
          <w:szCs w:val="20"/>
        </w:rPr>
      </w:pPr>
      <w:r>
        <w:rPr>
          <w:rFonts w:cs="Cambria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"/>
        <w:autoSpaceDE w:val="false"/>
        <w:jc w:val="both"/>
        <w:rPr>
          <w:rFonts w:ascii="Times New Roman" w:hAnsi="Times New Roman" w:cs="Cambria"/>
          <w:b/>
          <w:b/>
          <w:bCs/>
          <w:color w:val="000000"/>
          <w:sz w:val="20"/>
          <w:szCs w:val="20"/>
        </w:rPr>
      </w:pPr>
      <w:r>
        <w:rPr>
          <w:rFonts w:cs="Cambria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Wymagania </w:t>
      </w:r>
      <w:r>
        <w:rPr>
          <w:rFonts w:ascii="Times New Roman" w:hAnsi="Times New Roman"/>
          <w:b/>
          <w:sz w:val="20"/>
          <w:szCs w:val="20"/>
        </w:rPr>
        <w:t xml:space="preserve">konieczne (K)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Wymagania </w:t>
      </w:r>
      <w:r>
        <w:rPr>
          <w:rFonts w:ascii="Times New Roman" w:hAnsi="Times New Roman"/>
          <w:b/>
          <w:sz w:val="20"/>
          <w:szCs w:val="20"/>
        </w:rPr>
        <w:t xml:space="preserve">podstawowe (P)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obejmują wymagania z poziomu K oraz wiadomości stosunkowo łatwe do opanowania, przydatne w życiu codziennym, bez których nie jest możliwe kontynuowanie dalszej nauki.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Wymagania </w:t>
      </w:r>
      <w:r>
        <w:rPr>
          <w:rFonts w:ascii="Times New Roman" w:hAnsi="Times New Roman"/>
          <w:b/>
          <w:sz w:val="20"/>
          <w:szCs w:val="20"/>
        </w:rPr>
        <w:t xml:space="preserve">rozszerzające (R)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obejmują wymagania z poziomów K i P oraz wiadomości i umiejętności o średnim stopniu trudności, dotyczące zagadnień bardziej złożonych i nieco trudniejszych, przydatnych na kolejnych poziomach kształcenia;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284" w:righ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Wymagania </w:t>
      </w:r>
      <w:r>
        <w:rPr>
          <w:rFonts w:ascii="Times New Roman" w:hAnsi="Times New Roman"/>
          <w:b/>
          <w:sz w:val="20"/>
          <w:szCs w:val="20"/>
        </w:rPr>
        <w:t xml:space="preserve">dopełniające (D) </w:t>
      </w:r>
      <w:r>
        <w:rPr>
          <w:rFonts w:ascii="Times New Roman" w:hAnsi="Times New Roman"/>
          <w:sz w:val="20"/>
          <w:szCs w:val="20"/>
        </w:rPr>
        <w:t>– obejmują wymagania z poziomów K, P i R oraz obejmują wiadomości i umiejętności złożone dotyczące zadań problemowych, o wyższym stopniu trudności.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284" w:righ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Wymagania </w:t>
      </w:r>
      <w:r>
        <w:rPr>
          <w:rFonts w:ascii="Times New Roman" w:hAnsi="Times New Roman"/>
          <w:b/>
          <w:sz w:val="20"/>
          <w:szCs w:val="20"/>
        </w:rPr>
        <w:t xml:space="preserve">wykraczające (W)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stosowanie znanych wiadomości i umiejętności w sytuacjach trudnych, nietypowych, złożonych.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Wymagania na poszczególne oceny szkolne: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ocena dopuszczająca</w:t>
        <w:tab/>
        <w:t xml:space="preserve">– </w:t>
        <w:tab/>
        <w:t>wymagania z poziomu K,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ocena dostateczna</w:t>
        <w:tab/>
        <w:t xml:space="preserve">– </w:t>
        <w:tab/>
        <w:t>wymagania z poziomów K i P,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ocena dobra</w:t>
        <w:tab/>
        <w:t xml:space="preserve">– </w:t>
        <w:tab/>
        <w:t>wymagania z poziomów: K, P i R,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ocena bardzo dobra</w:t>
        <w:tab/>
        <w:t xml:space="preserve">– </w:t>
        <w:tab/>
        <w:t>wymagania z poziomów: K, P, R i D,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ocena celująca</w:t>
        <w:tab/>
        <w:t xml:space="preserve">– </w:t>
        <w:tab/>
        <w:t>wymagania z poziomów: K, P, R, D i W.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sz w:val="20"/>
          <w:szCs w:val="20"/>
        </w:rPr>
        <w:t>niedostateczną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jeśli nie opanował wymagań koniecznych. </w:t>
      </w:r>
    </w:p>
    <w:p>
      <w:pPr>
        <w:pStyle w:val="Normal"/>
        <w:spacing w:lineRule="auto" w:line="276"/>
        <w:ind w:left="36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ind w:left="36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76"/>
        <w:ind w:left="426" w:right="0" w:hanging="426"/>
        <w:jc w:val="both"/>
        <w:rPr>
          <w:rFonts w:ascii="Times New Roman" w:hAnsi="Times New Roman"/>
          <w:b/>
          <w:b/>
          <w:sz w:val="24"/>
          <w:szCs w:val="40"/>
        </w:rPr>
      </w:pPr>
      <w:r>
        <w:rPr>
          <w:rFonts w:cs="Arial" w:ascii="Times New Roman" w:hAnsi="Times New Roman"/>
          <w:b/>
          <w:bCs/>
          <w:color w:val="000000"/>
          <w:sz w:val="24"/>
          <w:szCs w:val="40"/>
        </w:rPr>
        <w:t>Wymagania na poszczególne oceny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  <w:b/>
        </w:rPr>
        <w:t>ROZDZIAŁ I. STATYSTYKA I PRAWDOPODOBIEŃSTWO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dopuszczającą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dane przedstawione w tekstach, tabelach i na diagramach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91" w:leader="none"/>
              </w:tabs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średnią arytmetyczną zestawu liczb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i porządkuje dane (np. wyniki ankiety)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proste doświadczenia losowe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dostateczną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średnią arytmetyczną w prostej sytuacji zadaniowej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planuje sposób zbierania danych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opracowuje dane, np. wyniki ankiety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3"/>
        <w:gridCol w:w="8547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interpretuje dane przedstawione na nietypowych wykresach 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 sposoby prezentacji wyników (np. ankiety)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tworzy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>tabele, diagramy,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>wykresy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oblicza średnią arytmetyczną w nietypowych sytuacjach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porządkuje dane i oblicza medianę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bardzo 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interpretuje wyniki zadania pod względem wpływu zmiany danych na wynik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prawdopodobieństwa zdarzeń określonych przez kilka warunków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celującą</w:t>
      </w:r>
      <w:r>
        <w:rPr>
          <w:rFonts w:ascii="Times New Roman" w:hAnsi="Times New Roman"/>
          <w:sz w:val="20"/>
          <w:szCs w:val="20"/>
        </w:rPr>
        <w:t xml:space="preserve">, jeśli: 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o znacznym stopniu trudności dotyczące prostych doświadczeń losowych, a także układa takie zadania</w:t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  <w:b/>
        </w:rPr>
        <w:t>ROZDZIAŁ II.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eastAsia="Arial Unicode MS" w:cs="Arial Unicode MS" w:ascii="Times New Roman" w:hAnsi="Times New Roman"/>
          <w:b/>
        </w:rPr>
        <w:t>WYRAŻENIA ALGEBRAICZNE I RÓWNANIA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dopuszczającą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3"/>
        <w:gridCol w:w="8547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zaznacza na osi liczbowej zbiory liczb spełniających warunek taki jak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&lt; 5 lub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≥</m:t>
              </m:r>
            </m:oMath>
            <w:r>
              <w:rPr>
                <w:rFonts w:ascii="Times New Roman" w:hAnsi="Times New Roman"/>
                <w:sz w:val="20"/>
                <w:szCs w:val="20"/>
              </w:rPr>
              <w:t> −2,5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liczbowe wyrażeń algebraicznych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rozpoznaje porządkuje wyrazy podobne 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wyodrębnia wyrazy w sumie algebraicznej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sumę algebraiczną przez wyrażenie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równania liniowe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sprawdza, czy podana liczba jest rozwiązaniem równania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dostateczną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dwumian przez dwumian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 iloczyn w najprostszej postaci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wyprowadza proste wzory na pole i obwód figury na podstawie rysunku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rozwiązania prostych zadań w postaci wyrażeń algebraicznych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przekształca proste wzory geometryczne i fizyczne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3"/>
        <w:gridCol w:w="8547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zapisuje trudniejszych przypadkach wyniki podanych działań w postaci wyrażeń algebraicznych jednej lub kilku zmiennych 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zapisuje trudniejszych przypadkach zależności przedstawione w zadaniach w postaci wyrażeń algebraicznych jednej lub kilku zmiennych 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przekształca skomplikowane wzory geometryczne i fizyczne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rozwiązania trudniejszych zadań w postaci wyrażeń algebraicznych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skomplikowane równania liniowe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bardzo 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w prostych przypadkach liczby niewymierne na osi liczbowej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wyniki podanych działań w postaci wyrażeń algebraicznych jednej lub kilku zmiennych (w bardziej skomplikowanych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trzy czynniki będące dwumianami lub trójmianami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celującą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liczby niewymierne na osi liczbowej, korzystając z twierdzenia Pitagorasa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wyprowadza wzory skróconego mnożenia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uzasadnia, że wyrażenie algebraiczne dla zmiennej </w:t>
            </w:r>
            <w:r>
              <w:rPr>
                <w:rFonts w:ascii="Times New Roman" w:hAnsi="Times New Roman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∈</m:t>
              </m:r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jest podzielne przez daną liczbę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  <w:b/>
        </w:rPr>
        <w:t>ROZDZIAŁ III. FIGURY NA PŁASZCZYŹNIE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dopuszczającą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stosuje pojęcia kątów: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prostych, ostrych i rozwartych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sprawdza, czy istnieje trójkąt o danych bokach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dostateczną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proste zadania dotyczące miar kątów w trójkątach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dotyczące miar kątów w czworokątach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2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odróżnia przykład od dowodu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proste zadania dotyczące nierówności trójkąt 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4" w:hanging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rozróżnia założenie i tezę w twierdzeniu sformułowanym w dowolny sposób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bardzo 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proste dowody geometryczne z wykorzystaniem miar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uzasadnia nieprawdziwość hipotezy, podając kontrprzykład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w prostych przykładach nierówność trójkąta do określenia warunków, jaki muszą spełniać boki czworokąta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celującą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znacznie trudniejsze zadania dotyczące kątów trójkąta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trudniejsze dowody geometryczne z wykorzystaniem miar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  <w:b/>
        </w:rPr>
        <w:t>ROZDZIAŁ IV. WIELOKĄTY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dopuszczającą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rozróżnia figury przystające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związane z przystawaniem wielokątów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stosuje w prostych przypadkach cechy przystawania trójkątów do sprawdzania, czy dane trójkąty są przystające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odróżnia definicję od twierdzenia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wielokąty foremne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dostateczną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rozwiązuje zadania związane z cechami przystawania trójkątów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analizuje dowody prostych twierdzeń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wybiera uzasadnienie zdania spośród kilku podanych możliwości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miary kątów wewnętrznych wielokąta foremnego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ocenia przystawanie trójkątów (w bardziej skomplikowanych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wielokąty foremne za pomocą cyrkla i kątomierza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bardzo 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celującą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związane z przystawaniem wielokątów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dowody geometryczne dotyczące wielokątów foremnych</w:t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  <w:b/>
        </w:rPr>
        <w:t>ROZDZIAŁ V. GEOMETRIA PRZESTRZENNA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dopuszczającą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3"/>
        <w:gridCol w:w="8547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graniastosłupy i ostrosłupy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krawędzie i ściany równoległe w graniastosłupach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rozróżnia graniastosłupy proste i pochyłe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graniastosłupy prawidłowe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odróżnia przekątną graniastosłupa od przekątnej podstawy i przekątnej ściany bocznej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oblicza długość przekątnej ściany graniastosłupa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rozwiązuje proste zadania dotyczące graniastosłupów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oblicza objętość graniastosłupa o danym polu podstawy i danej wysokości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rysuje co najmniej jedną siatkę danego graniastosłupa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oblicza pole powierzchni graniastosłupa na podstawie danych opisanych na siatce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ostrosłupy proste i prawidłowe, czworościan oraz czworościan foremny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odczytuje dane z rysunku rzutu ostrosłupa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rozwiązuje proste zadania dotyczące ostrosłupów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objętość ostrosłupa o danym polu podstawy i danej wysokości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co najmniej jedną siatkę danego ostrosłupa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dostateczną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objętość graniastosłupa prawidłowego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zamienia jednostki objętości, wykorzystując zamianę jednostek długości  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dotyczące obliczania objętości graniastosłupa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rozwiązuje proste zadania na obliczanie odcinków w ostrosłupach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oblicza objętość ostrosłupa prawidłowego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rozwiązuje proste zadania dotyczące obliczania objętości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dotyczące obliczania pola powierzchni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oblicza objętość oraz pole powierzchni brył powstałych z połączenia graniastosłupów i ostrosłupów (w prostych przypadkach)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3"/>
        <w:gridCol w:w="8547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dotyczące graniastosłupów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 objętość graniastosłupa w postaci wyrażenia algebraicznego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dotyczące objętości graniastosłupów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wyznacza objętość graniastosłupa w nietypowych przypadkach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dotyczące pola powierzchni graniastosłupa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dotyczące ostrosłupów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dotyczące objętości ostrosłupów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wyznacza objętość ostrosłupa w nietypowych przypadkach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dotyczące pole powierzchni ostrosłupa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objętości nietypowych brył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pola powierzchni nietypowych brył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bardzo 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dotyczące obliczania objętości ostrosłupów,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projektuje nietypowe siatki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na obliczanie objętości oraz pola powierzchni brył powstałych połączenia ostrosłupów i graniastosłupów, także w sytuacjach praktycznych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celującą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i zaznacza przekroje sześcianu oraz oblicza ich pole powierzchni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na obliczanie odcinków w ostrosłupach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  <w:b/>
        </w:rPr>
        <w:t>ROZDZIAŁ VI. POWTÓRZENIE WIADOMOŚCI ZE SZKOŁY PODSTAWOWEJ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dopuszczającą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849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rozróżnia liczby przeciwne i liczby odwrotne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odległość między dwiema liczbami całkowitymi na osi liczbowej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ułamek dziesiętny skończony na ułamek zwykły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cechy podzielności przez 2,3, 4, 5, 9, 10 i 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liczby pierwsze i liczby złożone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wykonuje działania na ułamkach zwykłych i dziesiętnych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wartość bezwzględną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na obliczenia zegarowe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na obliczenia kalendarzowe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odróżnia lata przestępne od lat zwykłych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wykorzystaniem skali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na obliczanie drogi, prędkości i czasu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proste zadania na obliczenia pieniężne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prostej sytuacji zadaniowej: oblicza procent danej liczby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potęgi liczb wymiernych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upraszcza proste wyrażenia, korzystając z praw działań na potęgach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pierwiastki kwadratowe i sześcienne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upraszcza proste wyrażenia, korzystając z praw działań na pierwiastkach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sumy algebraiczne, dokonując redukcji wyrazów podobnych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wartość prostych wyrażeń algebraicznych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sprawdza, czy dana liczba jest rozwiązaniem równania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równania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ocenia, czy wielkości są wprost proporcjonalne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obwód wielokąta o danych długościach boków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wykorzystaniem twierdzenia Pitagorasa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miary kątów wierzchołkowych i przyległych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miary kątów wewnętrznych czworokąta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siatki graniastosłupów i ostrosłupów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objętość graniastosłupów i ostrosłupów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na obliczanie pola powierzchni prostopadłościanów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średnią arytmetyczną dwóch liczb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dane z tabeli, wykresu, diagramu słupkowego i kołowego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dostateczną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3"/>
        <w:gridCol w:w="8547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odległość między dwiema liczbami na osi liczbowej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ułamek zwykły na ułamek dziesiętny okresowy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zaokrągla ułamki dziesiętne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z wykorzystaniem cech podzielności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rozkłada liczby naturalne na czynniki pierwsze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wykorzystaniem skali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na obliczanie drogi, prędkości i czasu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obliczenia procentowe do rozwiązywania problemów w kontekście praktycznym (podwyżki i obniżki danej wielkości)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upraszcza wyrażenia, korzystając z praw działań na potęgach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 wykorzystaniem notacji wykładniczej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szacuje wielkość danego pierwiastka kwadratowego lub sześciennego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upraszcza wyrażenia, korzystając z praw działań na pierwiastkach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włącza liczby pod znak pierwiastka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wyłącza liczby spod znaku pierwiastka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dwumian przez dwumian, dokonując redukcji wyrazów podobnych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treść prostych zadań w postaci wyrażeń algebraicznych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podział proporcjonalny (w prostych przypadkach)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przekształca proste wzory, aby wyznaczyć daną wielkość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wykorzystaniem cech przystawania trójkątów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miary kątów odpowiadających i naprzemianległych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miary kątów wewnętrznych wielokąta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wykorzystaniem własności wielokątów foremnych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środek odcinka w układzie współrzędnych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odcinka w układzie współrzędnych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jednostki objętości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średnią arytmetyczną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prawdopodobieństwo zdarzenia w prostych przypadkach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 zdarzenia: pewne, możliwe i niemożliwe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849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na osi liczbowej liczby spełniające podane warunki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liczby wymierne zapisane w różnych postaciach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z wykorzystaniem skali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na obliczenia pieniężne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na obliczanie drogi, prędkości i czasu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zadania tekstowe z wykorzystaniem obliczeń procentowych, również dotyczące podwyżek i obniżek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wykonuje wieloetapowe działania na potęgach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z wykorzystaniem notacji wykładniczej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przybliżone wartości pierwiastka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własności pierwiastków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upraszcza wyrażenia zawierające pierwiastki stosując włączanie liczby pod znak pierwiastka lub wyłączanie liczby spod znaku pierwiastka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treść trudniejszych zadań w postaci wyrażeń algebraicznych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tekstowe za pomocą równań pierwszego stopnia z jedną niewiadomą, w tym zadania z obliczeniami procentowymi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przekształca wzory, aby wyznaczyć daną wielkość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z wykorzystaniem twierdzenia Pitagorasa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współrzędne końca odcinka w układzie współrzędnych na podstawie współrzędnych środka i drugiego końca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uzasadnia przystawanie trójkątów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uzasadnia równość pól trójkątów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dotyczącej średniej arytmetycznej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średnią arytmetyczną na podstawie diagramu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prawdopodobieństwo zdarzenia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przedstawia dane na diagramie słupkowym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interpretuje dane przedstawione na wykresie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stwierdza, że zadania można rozwiązać wieloma różnymi sposobami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bardzo 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849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z wykorzystaniem lat przestępnych i zwykłych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skomplikowane zadania z wykorzystaniem skali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na obliczenia pieniężne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na obliczanie drogi, prędkości i czasu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włącza liczby pod znak pierwiastka (w trudniejszych zadaniach)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wyłącza liczby spod znaku pierwiastka (w trudniejszych zadaniach)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treść wieloetapowych zadań w postaci wyrażeń algebraicznych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na obliczanie pól trójkątów i czworokątów, także w sytuacjach praktycznych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z wykorzystaniem twierdzenia Pitagorasa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złożone zadania dotyczącej średniej arytmetycznej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 trudniejszych zadaniach prawdopodobieństwo zdarzenia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trudnej sytuacji odpowiada na pytania na podstawie wykresu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różne rozwiązania tego samego zadania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eastAsia="Arial Unicode MS" w:cs="Arial Unicode MS" w:ascii="Times New Roman" w:hAnsi="Times New Roman"/>
          <w:b/>
        </w:rPr>
        <w:t>ROZDZIAŁ VII. KOŁA I OKRĘGI. SYMETRIE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dopuszczającą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3"/>
        <w:gridCol w:w="8547"/>
      </w:tblGrid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na obliczanie długości okręgu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na obliczanie promienia i średnicy okręgu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oblicza pole koła (w prostych przypadkach)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osie symetrii figury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wielokąty osiowosymetryczne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wielokąty środkowosymetryczne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symetralną odcinka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dwusieczną kąta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dostateczną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wartość wyrażeń zawierających liczbę π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przybliżoną wartość odpowiedzi w zadaniach z kontekstem praktycznym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na obliczanie pola pierścienia kołowego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środek symetrii w wielokątach foremnych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 rysunek tak, aby nowa figura miała oś symetrii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zadania, wykorzystując własności symetralnej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figury z uwzględnieniem pola koła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i obwód figury powstałej z kół o różnych promieniach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pierścienia kołowego o danych średnicach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punkt symetryczny do danego względem danej osi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liczbę osi symetrii figury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 rysunek tak, aby nowa figura miała środek symetrii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wykorzystaniem własności symetralnej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wykorzystaniem własności dwusiecznej kąta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bardzo dobrą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skomplikowane zadania z wykorzystaniem własności symetralnej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07" w:hanging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Uczeń otrzymuje ocenę </w:t>
      </w:r>
      <w:r>
        <w:rPr>
          <w:rFonts w:ascii="Times New Roman" w:hAnsi="Times New Roman"/>
          <w:b/>
          <w:bCs/>
          <w:sz w:val="20"/>
          <w:szCs w:val="20"/>
        </w:rPr>
        <w:t>celującą</w:t>
      </w:r>
      <w:r>
        <w:rPr>
          <w:rFonts w:ascii="Times New Roman" w:hAnsi="Times New Roman"/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proste dowody dotyczące długości okręgów i obwodów kół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proste dowody dotyczące pól kół i pól pierścieni kołowych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>
      <w:pPr>
        <w:pStyle w:val="ListParagraph"/>
        <w:spacing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3905" w:hanging="360"/>
      </w:pPr>
      <w:rPr>
        <w:sz w:val="26"/>
        <w:b/>
        <w:szCs w:val="26"/>
        <w:rFonts w:ascii="Cambria" w:hAnsi="Cambria" w:eastAsia="Humanist521PL-Roman;MS Gothic" w:cs="Cambria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f613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4">
    <w:name w:val="Heading 4"/>
    <w:basedOn w:val="Normal"/>
    <w:next w:val="Normal"/>
    <w:link w:val="Nagwek4Znak"/>
    <w:uiPriority w:val="99"/>
    <w:unhideWhenUsed/>
    <w:qFormat/>
    <w:rsid w:val="00fe6a1a"/>
    <w:pPr>
      <w:keepNext w:val="true"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uiPriority w:val="99"/>
    <w:qFormat/>
    <w:rsid w:val="00fe6a1a"/>
    <w:rPr>
      <w:rFonts w:ascii="Cambria" w:hAnsi="Cambria" w:eastAsia="Times New Roman" w:cs="Times New Roman"/>
      <w:i/>
      <w:iCs/>
      <w:color w:val="365F91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e6a1a"/>
    <w:rPr>
      <w:rFonts w:ascii="Tahoma" w:hAnsi="Tahoma" w:eastAsia="Times New Roman" w:cs="Times New Roman"/>
      <w:sz w:val="16"/>
      <w:szCs w:val="16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fe6a1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fe6a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uiPriority w:val="99"/>
    <w:semiHidden/>
    <w:unhideWhenUsed/>
    <w:qFormat/>
    <w:rsid w:val="00fe6a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fe6a1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e6a1a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e6a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e6a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1f5649"/>
    <w:rPr>
      <w:color w:val="808080"/>
    </w:rPr>
  </w:style>
  <w:style w:type="character" w:styleId="WW8Num2z0">
    <w:name w:val="WW8Num2z0"/>
    <w:qFormat/>
    <w:rPr>
      <w:rFonts w:ascii="Cambria" w:hAnsi="Cambria" w:eastAsia="Humanist521PL-Roman;MS Gothic" w:cs="Cambria"/>
      <w:b/>
      <w:color w:val="000000"/>
      <w:sz w:val="26"/>
      <w:szCs w:val="26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fe6a1a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a1a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e6a1a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Wcicietrecitekstu">
    <w:name w:val="Body Text Indent"/>
    <w:basedOn w:val="Normal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nhideWhenUsed/>
    <w:qFormat/>
    <w:rsid w:val="00fe6a1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e6a1a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e6a1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e6a1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fe6a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66C2-7DF1-4661-9D74-D4247134BF65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2570efc-75cf-496e-87ca-61d359d7a044"/>
    <ds:schemaRef ds:uri="6a58c713-624c-4cd1-a440-51c1ac9502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LibreOffice/7.2.1.2$Windows_X86_64 LibreOffice_project/87b77fad49947c1441b67c559c339af8f3517e22</Application>
  <AppVersion>15.0000</AppVersion>
  <Pages>10</Pages>
  <Words>3717</Words>
  <Characters>25179</Characters>
  <CharactersWithSpaces>28197</CharactersWithSpaces>
  <Paragraphs>737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2024-08-13T17:44:00Z</dcterms:created>
  <dc:creator>ACER-PC</dc:creator>
  <dc:description/>
  <dc:language>pl-PL</dc:language>
  <cp:lastModifiedBy/>
  <dcterms:modified xsi:type="dcterms:W3CDTF">2025-08-26T18:16:24Z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