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AD56" w14:textId="488326F0"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</w:t>
      </w:r>
      <w:r w:rsidR="00731F82">
        <w:rPr>
          <w:b/>
          <w:sz w:val="24"/>
        </w:rPr>
        <w:t>ukacyjne na poszczególne oceny – geografia klasa 6</w:t>
      </w:r>
    </w:p>
    <w:p w14:paraId="3CE085F9" w14:textId="55135585" w:rsidR="00E84D66" w:rsidRPr="00FA651A" w:rsidRDefault="00E84D66">
      <w:pPr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731F82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731F82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1898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nauczyciel10</cp:lastModifiedBy>
  <cp:revision>2</cp:revision>
  <dcterms:created xsi:type="dcterms:W3CDTF">2024-12-28T18:41:00Z</dcterms:created>
  <dcterms:modified xsi:type="dcterms:W3CDTF">2024-12-28T18:41:00Z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