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 xml:space="preserve">uczeń z opinią o numerze </w:t>
      </w:r>
      <w:r>
        <w:rPr>
          <w:rFonts w:ascii="Calibri" w:hAnsi="Calibri"/>
          <w:b/>
          <w:bCs/>
          <w:color w:val="00A933"/>
          <w:sz w:val="28"/>
          <w:szCs w:val="28"/>
        </w:rPr>
        <w:t>1683/2020/2021:</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color w:val="00A933"/>
          <w:sz w:val="28"/>
          <w:szCs w:val="28"/>
        </w:rPr>
        <w:t xml:space="preserve"> </w:t>
      </w:r>
      <w:r>
        <w:rPr>
          <w:rFonts w:ascii="Calibri" w:hAnsi="Calibri"/>
          <w:color w:val="00A933"/>
          <w:sz w:val="28"/>
          <w:szCs w:val="28"/>
        </w:rPr>
        <w:t xml:space="preserve">Dostosowanie metod, form nauczania i wymagań. Zmniejszenie ilości, stopnia trudności i obszerności zadań. Dzielenie materiału na mniejsze partie, wyznaczanie czasu na ich opanowanie i odpytywanie. Formułowanie prostych pytań, powoływanie się na ilustrujące przykłady. Podchodzenie do ucznia w trakcie samodzielnej pracy w celu udzielania dodatkowej pomocy. Pozwalanie na dokańczanie w domu prac wykonywanych podczas lekcji. Odpytywanie po uprzedzeniu z jakiego materiału i kiedy będzie odpytywana.  </w:t>
      </w:r>
    </w:p>
    <w:p>
      <w:pPr>
        <w:pStyle w:val="Normal"/>
        <w:bidi w:val="0"/>
        <w:jc w:val="left"/>
        <w:rPr>
          <w:rFonts w:ascii="Calibri" w:hAnsi="Calibri"/>
          <w:color w:val="00A933"/>
          <w:sz w:val="28"/>
          <w:szCs w:val="28"/>
        </w:rPr>
      </w:pPr>
      <w:r>
        <w:rPr/>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LibreOffice/7.0.3.1$Windows_X86_64 LibreOffice_project/d7547858d014d4cf69878db179d326fc3483e082</Application>
  <Pages>12</Pages>
  <Words>2157</Words>
  <Characters>13935</Characters>
  <CharactersWithSpaces>16131</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2023-05-31T10:19:14Z</dcterms:created>
  <dc:creator/>
  <dc:description/>
  <dc:language>pl-PL</dc:language>
  <cp:lastModifiedBy/>
  <dcterms:modified xsi:type="dcterms:W3CDTF">2023-05-31T18:06:31Z</dcterms:modified>
  <cp:revision>2</cp:revision>
  <dc:subject/>
  <dc:title/>
</cp:coreProperties>
</file>