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b/>
          <w:bCs/>
          <w:sz w:val="28"/>
          <w:szCs w:val="28"/>
        </w:rPr>
        <w:t xml:space="preserve">uczeń z opinią o numerze </w:t>
      </w:r>
      <w:r>
        <w:rPr>
          <w:rFonts w:ascii="Calibri" w:hAnsi="Calibri"/>
          <w:b/>
          <w:bCs/>
          <w:color w:val="00A933"/>
          <w:sz w:val="28"/>
          <w:szCs w:val="28"/>
        </w:rPr>
        <w:t>1301/2022/2023:</w:t>
      </w:r>
    </w:p>
    <w:p>
      <w:pPr>
        <w:pStyle w:val="Normal"/>
        <w:bidi w:val="0"/>
        <w:jc w:val="left"/>
        <w:rPr>
          <w:rFonts w:ascii="Calibri" w:hAnsi="Calibri"/>
          <w:sz w:val="28"/>
          <w:szCs w:val="28"/>
        </w:rPr>
      </w:pPr>
      <w:r>
        <w:rPr>
          <w:rFonts w:ascii="Calibri" w:hAnsi="Calibri"/>
          <w:color w:val="00A933"/>
          <w:sz w:val="28"/>
          <w:szCs w:val="28"/>
        </w:rPr>
        <w:t xml:space="preserve">Przy ocenie prac pisemnych branie pod uwagę wartość merytoryczną. Wskazywanie rodzajów błędów i sposobu ich poprawy poprzez dodatkowe ćwiczenia. Ograniczanie czytanie obszernych lektur do rozdziałów istotnych ze względu na omawianą tematykę. Akceptowanie korzystania z lektur w formie audiobooków jako uzupełnienie. Dawanie więcej czasu na czytanie tekstów, poleceń, instrukcji. Sprawdzanie stopnia zrozumienia samodzielnie czytanych treści. Pozwalanie na poprawianie ocen negatywnych mniejszymi partiami materiału. Podczas wypowiedzi ustnych stosowanie pytań naprowadzających, w razie potrzeby dopytywanie indywidualnie, nie na forum klasy. </w:t>
      </w:r>
    </w:p>
    <w:p>
      <w:pPr>
        <w:pStyle w:val="Normal"/>
        <w:bidi w:val="0"/>
        <w:jc w:val="left"/>
        <w:rPr>
          <w:rFonts w:ascii="Calibri" w:hAnsi="Calibri"/>
          <w:sz w:val="28"/>
          <w:szCs w:val="28"/>
        </w:rPr>
      </w:pPr>
      <w:r>
        <w:rPr>
          <w:color w:val="00A933"/>
        </w:rPr>
      </w:r>
    </w:p>
    <w:p>
      <w:pPr>
        <w:pStyle w:val="Normal"/>
        <w:bidi w:val="0"/>
        <w:jc w:val="left"/>
        <w:rPr>
          <w:rFonts w:ascii="Calibri" w:hAnsi="Calibri"/>
          <w:sz w:val="28"/>
          <w:szCs w:val="28"/>
        </w:rPr>
      </w:pP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b/>
          <w:bCs/>
          <w:color w:val="00A933"/>
          <w:sz w:val="28"/>
          <w:szCs w:val="28"/>
        </w:rPr>
        <w:t>Ocenę celującą otrzymuje uczeń, który:</w:t>
      </w:r>
    </w:p>
    <w:p>
      <w:pPr>
        <w:pStyle w:val="Normal"/>
        <w:bidi w:val="0"/>
        <w:jc w:val="left"/>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color w:val="000000"/>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LibreOffice/7.0.3.1$Windows_X86_64 LibreOffice_project/d7547858d014d4cf69878db179d326fc3483e082</Application>
  <Pages>10</Pages>
  <Words>2170</Words>
  <Characters>14066</Characters>
  <CharactersWithSpaces>16112</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2023-06-01T18:19:39Z</dcterms:created>
  <dc:creator/>
  <dc:description/>
  <dc:language>pl-PL</dc:language>
  <cp:lastModifiedBy/>
  <dcterms:modified xsi:type="dcterms:W3CDTF">2023-06-01T18:34:39Z</dcterms:modified>
  <cp:revision>1</cp:revision>
  <dc:subject/>
  <dc:title/>
</cp:coreProperties>
</file>