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576B63" w:rsidRDefault="00B81F08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1F08">
        <w:rPr>
          <w:noProof/>
          <w:lang w:eastAsia="pl-PL"/>
        </w:rPr>
        <w:pict>
          <v:rect id="Prostokąt 2" o:spid="_x0000_s1026" style="position:absolute;margin-left:0;margin-top:-63.5pt;width:595.5pt;height:27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</w:t>
      </w:r>
      <w:r>
        <w:rPr>
          <w:color w:val="000000"/>
          <w:lang w:bidi="pl-PL"/>
        </w:rPr>
        <w:lastRenderedPageBreak/>
        <w:t xml:space="preserve">GIS </w:t>
      </w:r>
      <w:hyperlink r:id="rId8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r w:rsidR="00E32470" w:rsidRPr="00F90690">
        <w:rPr>
          <w:color w:val="000000"/>
          <w:lang w:bidi="pl-PL"/>
        </w:rPr>
        <w:t xml:space="preserve">sal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9" w:history="1">
        <w:r w:rsidR="001E44F2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lastRenderedPageBreak/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t>Or</w:t>
      </w:r>
      <w:r w:rsidR="0089351A" w:rsidRPr="00F90690">
        <w:rPr>
          <w:rFonts w:eastAsiaTheme="minorHAnsi"/>
        </w:rPr>
        <w:t>ganizacja pracy bursy/internatu</w:t>
      </w:r>
    </w:p>
    <w:p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 xml:space="preserve">i poinformować o nim </w:t>
      </w:r>
      <w:r w:rsidRPr="00F90690">
        <w:lastRenderedPageBreak/>
        <w:t>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</w:t>
      </w:r>
      <w:bookmarkStart w:id="0" w:name="_GoBack"/>
      <w:bookmarkEnd w:id="0"/>
      <w:r w:rsidRPr="00F90690">
        <w:rPr>
          <w:color w:val="000000"/>
          <w:lang w:bidi="pl-PL"/>
        </w:rPr>
        <w:t>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r w:rsidR="00963980" w:rsidRPr="00F90690">
        <w:t>teleporady medycznej</w:t>
      </w:r>
      <w:r w:rsidRPr="00F90690">
        <w:t xml:space="preserve">. </w:t>
      </w:r>
    </w:p>
    <w:p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>częste mycie i dezynfekowanie łazienek, pomieszczeń kuchennych, blatów w pokojach oraz pomieszczeniach wspólnie użytkowanych (np. w pokojach cichej nauki).</w:t>
      </w:r>
    </w:p>
    <w:p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:rsidR="00963980" w:rsidRDefault="00963980" w:rsidP="0089351A">
      <w:pPr>
        <w:pStyle w:val="punkty"/>
      </w:pPr>
      <w:r w:rsidRPr="00F90690">
        <w:lastRenderedPageBreak/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>m podstawowej opieki zdrowotnej, aby uzyskać teleporadę</w:t>
      </w:r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</w:t>
      </w:r>
      <w:r w:rsidRPr="00294D41">
        <w:rPr>
          <w:color w:val="000000"/>
          <w:lang w:bidi="pl-PL"/>
        </w:rPr>
        <w:lastRenderedPageBreak/>
        <w:t xml:space="preserve">zakażenie i zalecenie stosowania się do wytycznych Głównego Inspektora Sanitarnego dostępnych na stronie </w:t>
      </w:r>
      <w:hyperlink r:id="rId10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:rsidR="00383D0F" w:rsidRPr="0059646C" w:rsidRDefault="00B81F08" w:rsidP="00D11593">
      <w:pPr>
        <w:pStyle w:val="punkty"/>
        <w:numPr>
          <w:ilvl w:val="0"/>
          <w:numId w:val="0"/>
        </w:numPr>
        <w:ind w:left="360"/>
      </w:pPr>
      <w:hyperlink r:id="rId11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2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:rsidR="00D11593" w:rsidRDefault="00B81F08" w:rsidP="00D11593">
      <w:pPr>
        <w:pStyle w:val="punkty"/>
        <w:numPr>
          <w:ilvl w:val="0"/>
          <w:numId w:val="0"/>
        </w:numPr>
        <w:ind w:left="360"/>
      </w:pP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:rsidR="00D11593" w:rsidRDefault="00B81F08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https://www.gov.pl/web/rozwoj/hotele-i-inne-miejsca-noclegowe</w:t>
        </w:r>
      </w:hyperlink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6485" w:rsidRPr="00256485" w:rsidSect="00B8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71" w:rsidRDefault="002F0971" w:rsidP="00143D7D">
      <w:pPr>
        <w:spacing w:after="0" w:line="240" w:lineRule="auto"/>
      </w:pPr>
      <w:r>
        <w:separator/>
      </w:r>
    </w:p>
  </w:endnote>
  <w:endnote w:type="continuationSeparator" w:id="0">
    <w:p w:rsidR="002F0971" w:rsidRDefault="002F097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71" w:rsidRDefault="002F0971" w:rsidP="00143D7D">
      <w:pPr>
        <w:spacing w:after="0" w:line="240" w:lineRule="auto"/>
      </w:pPr>
      <w:r>
        <w:separator/>
      </w:r>
    </w:p>
  </w:footnote>
  <w:footnote w:type="continuationSeparator" w:id="0">
    <w:p w:rsidR="002F0971" w:rsidRDefault="002F097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0971"/>
    <w:rsid w:val="002F2315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1F08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08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www.gov.pl/web/sport/iv-etap---pytania-i-odpowiedz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ort/iv-etap---pytania-i-odpowiedz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gov.pl/web/koronawirus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rozwoj/hotele-i-inne-miejsca-nocleg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105B-4127-42C3-887D-A7FB3403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Aneta</cp:lastModifiedBy>
  <cp:revision>3</cp:revision>
  <cp:lastPrinted>2020-08-05T09:00:00Z</cp:lastPrinted>
  <dcterms:created xsi:type="dcterms:W3CDTF">2020-08-27T09:34:00Z</dcterms:created>
  <dcterms:modified xsi:type="dcterms:W3CDTF">2020-08-27T09:34:00Z</dcterms:modified>
</cp:coreProperties>
</file>