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Lato"/>
          <w:b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 xml:space="preserve">                                           </w:t>
      </w:r>
      <w:r>
        <w:rPr>
          <w:rFonts w:cs="Lato"/>
          <w:b/>
          <w:bCs/>
          <w:color w:val="746FB3"/>
          <w:sz w:val="36"/>
          <w:szCs w:val="36"/>
        </w:rPr>
        <w:t xml:space="preserve">WYMAGANIA EDUKACYJNE </w:t>
      </w:r>
      <w:r>
        <w:rPr>
          <w:rFonts w:cs="Lato"/>
          <w:b/>
          <w:bCs/>
          <w:color w:val="746FB3"/>
          <w:sz w:val="36"/>
          <w:szCs w:val="36"/>
        </w:rPr>
        <w:t>MATEMATYKA</w:t>
      </w:r>
      <w:r>
        <w:rPr>
          <w:rFonts w:cs="Lato"/>
          <w:b/>
          <w:bCs/>
          <w:color w:val="746FB3"/>
          <w:sz w:val="36"/>
          <w:szCs w:val="36"/>
        </w:rPr>
        <w:t xml:space="preserve">    KLASA 7</w:t>
      </w:r>
    </w:p>
    <w:tbl>
      <w:tblPr>
        <w:tblStyle w:val="Tabela-Siatka"/>
        <w:tblpPr w:bottomFromText="0" w:horzAnchor="text" w:leftFromText="141" w:rightFromText="141" w:tblpX="108" w:tblpY="1" w:topFromText="0" w:vertAnchor="text"/>
        <w:tblW w:w="141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2478"/>
        <w:gridCol w:w="2348"/>
        <w:gridCol w:w="2048"/>
        <w:gridCol w:w="1994"/>
        <w:gridCol w:w="2008"/>
        <w:gridCol w:w="2242"/>
      </w:tblGrid>
      <w:tr>
        <w:trPr>
          <w:tblHeader w:val="true"/>
        </w:trPr>
        <w:tc>
          <w:tcPr>
            <w:tcW w:w="993" w:type="dxa"/>
            <w:vMerge w:val="restart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2478" w:type="dxa"/>
            <w:vMerge w:val="restart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Temat</w:t>
            </w:r>
          </w:p>
        </w:tc>
        <w:tc>
          <w:tcPr>
            <w:tcW w:w="4396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Wymagania podstawowe</w:t>
            </w:r>
          </w:p>
        </w:tc>
        <w:tc>
          <w:tcPr>
            <w:tcW w:w="6244" w:type="dxa"/>
            <w:gridSpan w:val="3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Wymagania ponadpodstawowe</w:t>
            </w:r>
          </w:p>
        </w:tc>
      </w:tr>
      <w:tr>
        <w:trPr>
          <w:tblHeader w:val="true"/>
        </w:trPr>
        <w:tc>
          <w:tcPr>
            <w:tcW w:w="993" w:type="dxa"/>
            <w:vMerge w:val="continue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8" w:type="dxa"/>
            <w:vMerge w:val="continue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4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konieczne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(ocena dopuszczająca)</w:t>
            </w:r>
          </w:p>
        </w:tc>
        <w:tc>
          <w:tcPr>
            <w:tcW w:w="204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podstawowe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(ocena dostateczna)</w:t>
            </w:r>
          </w:p>
        </w:tc>
        <w:tc>
          <w:tcPr>
            <w:tcW w:w="1994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rozszerzające (ocena dobra)</w:t>
            </w:r>
          </w:p>
        </w:tc>
        <w:tc>
          <w:tcPr>
            <w:tcW w:w="200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dopełniające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(ocena bardzo dobra)</w:t>
            </w:r>
          </w:p>
        </w:tc>
        <w:tc>
          <w:tcPr>
            <w:tcW w:w="2242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wykraczające (ocena celująca)</w:t>
            </w:r>
          </w:p>
        </w:tc>
      </w:tr>
      <w:tr>
        <w:trPr>
          <w:tblHeader w:val="true"/>
        </w:trPr>
        <w:tc>
          <w:tcPr>
            <w:tcW w:w="993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78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4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04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994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200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2242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FFFFFF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6CD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I. LICZBY I DZIAŁANIA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Dodawanie i odejmowanie liczb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skraca i rozszerza proste ułamki zwykłe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algorytm dodawania liczb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algorytm porównywania ułamków zwykłych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</w:t>
            </w:r>
            <w:bookmarkStart w:id="0" w:name="_GoBack"/>
            <w:bookmarkEnd w:id="0"/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zna pojęcie liczb przeciwnych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algorytm dodawania i odejmowania sposobem pisemnym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dodawać i odejmować dwie liczby wymierne zapisane w tej samej postaci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skraca i rozszerza ułamki zwykłe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porównywać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znajdować liczbę wymierną znajdującą się pomiędzy dwiema danymi liczbami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znajduje liczby spełniające określone warunki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porządkować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wykonywać działania łączne na liczbach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stosować prawa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wykonuje działania w wyrażeniach o skomplikowanej budowie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na zastosowanie dodawania i odejmowania liczb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na dodawanie i odejmowanie liczb wymiernych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Rozwinięcia dziesiętne ułamków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ułamki dziesiętne na ułamki zwykłe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algorytm zamiany ułamków zwykłych na ułamki dziesiętne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pojęcia: rozwinięcie dziesiętne skończone i nieskończone, ułamek okresowy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ułamki zwykłe na ułamki dziesiętne, wyznacza okres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liczby zapisane w różnych postaciach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znajduje liczbę wymierną leżącą pomiędzy dwiema danymi liczbami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warunek zamiany ułamka zwykłego na ułamek dziesiętny skończony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porządkować liczby wymierne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warunek zamiany ułamka zwykłego na ułamek dziesiętny skończony lub nieskończony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wyznacza liczbę, która znajduje się na wskazanym miejscu po przecinku w rozwinięciu dziesiętnym nieskończonym okresowym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Zaokrąglanie liczb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algorytm zaokrąglania liczb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potrzebę zaokrąglania liczb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zaokrąglić liczbę całkowitą do danego rzędu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zaokrąglić ułamek dziesiętny do danego rzędu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szacować wyniki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zaokrąglić ułamek dziesiętny nieskończony do danego rzędu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szacuje wyniki wyrażeń arytmetycznych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dokonać porównań poprzez oszacowanie w zadaniach tekstowych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ułamki dziesiętne nieskończone okresowe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Mnożenie i dzielenie liczb wymiernych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algorytm mnożenia i dzielenia liczb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odwrotności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mnożyć i dzielić ułamki przez liczby naturalne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podać odwrotność liczby wymiernej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mnożyć i dzielić ułamki zwykłe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mnożyć i dzielić ułamki dziesiętne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wykonuje działania na ułamkach dziesiętnych za pomocą kalkulatora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mnożyć i dzielić liczby wymierne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poprawnie określa znak uzyskanego wyniku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wykonuje rachunku, w których występują jednocześnie ułamki zwykłe i ułamki dziesiętne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wykonuje rachunki, w których występują jednocześnie ułamki zwykłe i liczby mieszane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trudniejszych wyrażeń arytmetycznych, w których występują zarówno ułamki zwykłe, jak i liczby mieszane oraz kilka działań mnożenia lub dzielenia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na zastosowanie mnożenia i dzielenia liczb wymiernych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Obliczanie wartości wyrażeń arytmetycznych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kolejność wykonywania działań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właściwą kolejność wykonywania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poprawnie wykonuje działania na liczbach wymiernych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prostych wyrażeń arytmetycznych, stosując reguły dotyczące kolejności wykonywania działań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zapisać podane słownie wyrażenia arytmetyczne i obliczać ich wartość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stosować prawa działań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trudniejszych wyrażeń arytmetycznych, stosując reguły dotyczące kolejności wykonywania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tworzy wyrażenia arytmetyczne na podstawie treści zadań i oblicza ich wartość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obliczać wartości ułamków piętrowych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II. OBLICZENIA PROCENTOWE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Proporcje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wielkości wprost proporcjonalne na podstawie tabelki i opisu słownego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proporcji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proste zadania tekstowe z wykorzystaniem własności wielkości wprost proporcjonalnych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proporcji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podział proporcjonalny do rozwiązywania prostych zadań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w proporcji wyrazy skrajne i środkowe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warunek równości iloczynów wyrazów skrajnych i środkowych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podział proporcjonalny do rozwiązywania trudniejszych zadań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podział proporcjonalny do rozwiązywania nietypowych zadań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Procenty i ułamki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procentu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ułamki zwykłe o mianownikach, które można rozszerzyć lub skrócić do liczby 100, na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ułamki dziesiętne na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procent wyrażony liczbą całkowitą w postaci ułamka lub liczby całkowitej,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np.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16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%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16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100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0,16</m:t>
              </m:r>
            </m:oMath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procentu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ułamki zwykłe o mianownikach, których nie można rozszerzyć lub skrócić do liczby 100, na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procent na ułamek zwykły oraz na ułamek dziesiętny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umiejętność zamiany ułamków na procenty oraz procentów na ułamki do rozwiązywania typowych zadań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umiejętność zamiany ułamków na procenty oraz procentów na ułamki do rozwiązywania trudniejszych zadań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umiejętność zamiany ułamków na procenty oraz procentów na ułamki do rozwiązywania nietypowych zadań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Diagramy procentowe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diagramu procentowego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odczytuje potrzebne dane z diagramów słupkowych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odczytuje potrzebne dane z diagramów słupkowych, kołowych i prostokątnych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przedstawia dane w postaci diagramów słupkowych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interpretuje dane odczytane z diagramu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diagramy do rozwiązywania typowych zadań tekstowych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diagramy do rozwiązywania trudniejszych zadań tekstowych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diagramy do rozwiązywania nietypowych zadań tekstowych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Obliczanie procentu danej liczby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procent danej liczby całkowitej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procent danej liczby wymiernej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zawartość poszczególnych składników w produkcie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pojęcia podwyżki (obniżki) o pewien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podwyżkę (obniżkę) o pewien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pojęcie podatku VAT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 procentu danej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 zawartości poszczególnych składników w produkcie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tekstowe dotyczące obliczania podwyżek i obniżek o pewien procent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tekstowe dotyczące obliczania podwyżek i obniżek o pewien procent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podatku VAT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zdobyte wiadomości stosuje w nietypowych sytuacjach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Obliczanie liczby, gdy dany jest jej procent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liczbę na podstawie jej procentu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cenę produktu przed obniżką lub podwyżką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 liczby na podstawie jej procentu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cenę produktu przed podwójną obniżką lub podwójną podwyżką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zdobyte wiadomości stosuje w nietypowych sytuacjach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Obliczanie, jakim procentem jednej liczby jest druga liczba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oblicza, jakim procentem pewnej wielkości jest inna wielkość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wielkość podwyżki oraz obniżki ceny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obliczania, jakim procentem pewnej wielkości jest inna wielkość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 wielkości podwyżki oraz obniżki ceny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obliczanie, jakim procentem jednej liczby jest druga liczba, w zadaniach złożonych i nietypowych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 ile procent więcej, o ile procent mniej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oblicza, o ile procent wzrosła lub zmalała początkowa wielkość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określenie: punkty procentowe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wykonuje obliczenia z zastosowaniem punktów procentowych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obliczania, o ile procent więcej, o ile procent mniej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obliczania wielkości podwyżki oraz obniżki ceny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obliczanie, o ile procent więcej lub mniej w zadaniach złożonych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Zastosowanie procentów w praktyce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odsetki od kredytu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kwotę odsetek od lokaty bankowej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stężenie procentowe roztworu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tekstowe dotyczące obliczania odsetek od lokaty, kwoty odsetek od kredytu oraz stężenia procentowego roztworu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tekstowe dotyczące obliczania odsetek od lokaty, kwoty odsetek od kredytu oraz stężenia procentowego roztworu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tekstowe dotyczące obliczania odsetek od lokaty, kwoty odsetek od kredytu oraz stężenia procentowego roztworu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III. Potęgi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14.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Potęga o wykładniku naturalnym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zapisuje iloczyn jako potęgę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umie obliczyć potęgę o wykładniku naturalnym liczb całkowitych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potęgi o wykładniku naturalnym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kwadraty i sześciany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określić znak potęgi, nie wykonując obliczeń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potęgi liczb wymiernych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wartość wyrażenia arytmetycznego zawierającego potęgowanie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77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rozwiązuje nietypowe zadania tekstowe związane z potęgami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Iloczyn i iloraz potęg o jednakowych podstawach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iloczyn i iloraz potęg o tych samych podstawach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mnożyć i dzielić potęgi o tych samych podstawach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9" w:after="0"/>
              <w:ind w:right="153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rozumie powstanie wzoru na mnożenie i dzielenie potęg o tych samych podstawach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stosuje mnożenie i dzielenie potęg o tych samych podstawach do obliczania wartości liczbowej prostych wyrażeń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53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/>
                <w:color w:val="231F20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podać cyfrę jedności liczby zapisanej w postaci potęgi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508" w:hanging="0"/>
              <w:jc w:val="left"/>
              <w:rPr>
                <w:rFonts w:eastAsia="Lato" w:cs="Calibri"/>
                <w:color w:val="231F20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stosuje mnożenie i dzielenie potęg o tej samej podstawie do obliczania wartości liczbowej trudniejszych wyrażeń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zadania, stosując wzory na iloczyn i iloraz potęg o jednakowym wykładniku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16.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Potęgowanie iloczynu i ilorazu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potęgowanie iloczynu i ilorazu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Lato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umie zapisać w postaci jednej potęgi iloczyny i ilorazy potęg o tych samych wykładnikach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powstanie wzoru na iloczyn potęg o tym samym wykładniku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powstanie wzoru na iloraz potęg o tym wykładniku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mnoży potęgi o tym samym wykładniku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dzieli potęgi o tym samym wykładniku</w:t>
            </w:r>
          </w:p>
        </w:tc>
        <w:tc>
          <w:tcPr>
            <w:tcW w:w="199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47" w:hanging="0"/>
              <w:jc w:val="left"/>
              <w:rPr>
                <w:rFonts w:cs="Calibri"/>
                <w:color w:val="231F20"/>
              </w:rPr>
            </w:pPr>
            <w:r>
              <w:rPr>
                <w:rFonts w:eastAsia="Calibri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doprowadza wyrażenie do prostszej postaci, stosując działania na potęgach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color w:val="231F20"/>
                <w:kern w:val="0"/>
                <w:sz w:val="22"/>
                <w:szCs w:val="22"/>
                <w:lang w:val="pl-PL" w:eastAsia="en-US" w:bidi="ar-SA"/>
              </w:rPr>
              <w:t>- oblicza wartość wyrażenia arytmetycznego zawierającego potęgi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przekształcić wyrażenie arytmetyczne zawierające potęgi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skomplikowanych wyrażeń arytmetycznych zawierających potęgi, stosując potęgowanie iloczynu i ilorazu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17.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Potęgowanie potęgi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potęgować potęgę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wzór na potęgowanie potęgi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potęgi o tej samej podstawie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stosować potęgowanie potęgi do obliczania wartości wyrażeń arytmetycznych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rozwiązywać nietypowe zadania związane z potęgowaniem potęgi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18.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Działania na potęgach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proste działania na potęgach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doprowadzić wyrażenie do prostszej postaci, stosując prawa działań dotyczące potęg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stosować działania na potęgach w zadaniach tekstowych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liczby zapisane w postaci potęgi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tekstowe z wykorzystaniem praw działań na potęgach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19.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Notacja wykładnicza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zapis liczby w postaci notacji wykładniczej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zapisać liczby w notacji wykładniczej, także bardzo małe liczby z wykorzystaniem potęgi o wykładniku ujemnym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rozumie potrzebę wykorzystania notacji wykładniczej w praktyce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notację wykładniczą do zamiany jednostek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wartość wyrażenia arytmetycznego zawierającego liczby zapisane w notacji wykładniczej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przekształcać skomplikowane wyrażenia arytmetyczne zawierające liczby zapisane w notacji wykładniczej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IV. PIERWIASTKI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20.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Pierwiastek kwadratowy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pierwiastka kwadratowego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pierwiastek drugiego stopnia z kwadratu liczby nieujemnej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pierwiastka kwadratowego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pierwiastków drugiego stopnia, jeśli są liczbami wymiernymi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wyrażeń arytmetycznych zawierających pierwiastki kwadratowe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pierwiastków kwadratowych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21.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Działania na pierwiastkach kwadratowych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dodaje i odejmuje pierwiastki kwadratowe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własności pierwiastków kwadratowych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wyłącza czynnik przed pierwiastek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włącza czynnik pod pierwiastek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usuwa niewymierność z mianownika w prostych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doprowadza do najprostszej postaci wyrażenia zawierające pierwiastki drugiego stopnia i oblicza ich wartość - porównuje liczby zawierające pierwiastki kwadratowe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doprowadza do najprostszej postaci wyrażenia zawierające pierwiastki drugiego stopnia i oblicza ich wartość w trudniejszych przypadkach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22.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Pierwiastek sześcienny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pierwiastka sześciennego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pierwiastek trzeciego stopnia z sześcianu dowolnej liczby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pierwiastka sześciennego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pierwiastków trzeciego stopnia, jeśli są liczbami wymiernymi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wartości wyrażeń arytmetycznych zawierających pierwiastki  trzeciego stopnia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liczby zawierające pierwiastki sześcienne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dotyczące pierwiastków sześciennych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23.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Działania na pierwiastkach sześciennych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dodaje i odejmuje pierwiastki sześcienne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własności pierwiastków sześciennych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wyłącza czynnik przed znak pierwiastka sześciennego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włącza czynnik pod znak pierwiastka sześciennego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porządkuje liczby zawierające pierwiastki sześcienne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doprowadza do najprostszej postaci wyrażenia zawierające pierwiastki trzeciego stopnia i oblicza ich wartość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doprowadza do najprostszej postaci wyrażenia zawierające pierwiastki trzeciego stopnia i oblicza ich wartość w trudniejszych przypadkach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24.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Szacowanie pierwiastków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liczby niewymiernej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szacuje wartość pierwiastków kwadratowych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liczby niewymiernej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szacuje wartość pierwiastków sześciennych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szacuje wartość wyrażenia zawierającego pierwiastki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wartość wyrażenia arytmetycznego zawierającego pierwiastki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szacuje liczbę niewymierną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tekstowe na zastosowania działań na pierwiastkach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trudniejsze zadania tekstowe na zastosowania działań na pierwiastkach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25.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Działania na potęgach i pierwiastkach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własności potęg oraz własności pierwiastków w prostych obliczeniach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wyrażenia zawierające pierwiastki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własności potęg oraz własności pierwiastków w trudniejszych obliczeniach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własności potęg oraz własności pierwiastków w trudnych obliczeniach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V. WYRAŻENIA ALGEBRAICZNE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26.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Jednomian i suma algebraiczna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jednomianu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jednomianów podobnych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 określić współczynniki liczbowe jednomianu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sumy algebraicznej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odczytuje wyrazy sumy algebraicznej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jednomian w postaci uporządkowanej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jednomian opisany słownie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warunki zadania w postaci jednomianu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warunki zadania w postaci wyrażenia algebraicznego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skomplikowane zadania tekstowe w postaci sumy algebraicznej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27.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Redukcja wyrazów podobnych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jednomiany podobne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upraszcza sumy algebraiczne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wartość liczbową wyrażenia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wartość liczbową wyrażenia po przekształceniu go do najprostszej postaci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warunki zadania w postaci sumy algebraicznej, a następnie ją doprowadza do najprostszej postaci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warunki nietypowych zadań tekstowych w postaci jednomianów lub sum algebraicznych w najprostszej postaci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28.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Dodawanie i odejmowanie sum algebraicznych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odczytuje współczynniki liczbowe sum algebraicznych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dodaje i odejmuje proste sumy algebraiczne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reguły opuszczania nawiasów w wyrażeniach algebraicznych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warunki zadania w postaci sumy lub różnicy algebraicznej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warunki zadania w postaci sumy lub różnicy algebraicznej, a następnie opuszcza nawiasy i przeprowadza redukcję wyrazów podobnych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tekstowe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29.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Mnożenie jednomianów przez sumy algebraiczne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metodę mnożenia jednomianów przez sumę algebraiczną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mnoży sumę algebraiczną przez liczbę całkowitą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mnoży sumę algebraiczną przez liczby wymierne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dzieli sumę algebraiczną przez liczbę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wyłącza wspólny czynnik przed nawias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tekstowe, stosując mnożenie sum algebraicznych przez jednomiany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Mnożenie sum algebraicznych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regułę mnożenia sum algebraicznych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regułę mnożenia sum algebraicznych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kwadrat sumy algebraicznej w postaci sumy algebraicznej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tekstowe, wykorzystując mnożenie sum algebraicznych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nietypowe zadania tekstowe, wykorzystując mnożenie sum algebraicznych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VI. Równania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31.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Liczby spełniające równanie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pojęcie równania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sprawdza, czy dana liczba całkowita spełnia równanie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równania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sprawdza, czy dana liczba wymierna spełnia równanie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równanie opisujące sytuację przedstawioną słownie w prostszych przypadkach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równanie opisujące sytuację przedstawioną słownie w trudniejszych przypadkach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32.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Rozwiązywanie równań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równanie pierwszego stopnia z jedną niewiadomą, z występującymi po prawej i lewej stronie sumami algebraicznymi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pojęcia: równania tożsamościowe i sprzeczne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równania równoważne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równanie pierwszego stopnia z jedną niewiadomą, zawierające nawiasy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równania metodą równań równoważnych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równania tożsamościowego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rozumie pojęcie równania sprzecznego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równania posiadające jeden pierwiastek, równania sprzeczne i tożsamościowe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 zastosowaniem przekształceń na wyrażeniach algebraicznych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równania posiadające jeden pierwiastek, równania sprzeczne i tożsamościowe z zastosowaniem trudniejszych przekształceń na wyrażeniach algebraicznych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33.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Zadania tekstowe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 wykorzystaniem równań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układa równania do prostych zadań praktycznych</w:t>
              <w:br/>
              <w:t xml:space="preserve"> i rozwiązuje je (np. z wykorzystaniem sformułowań w zadaniu o ile więcej, ile razy więcej)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tekstowe za pomocą równań pierwszego stopnia</w:t>
              <w:br/>
              <w:t xml:space="preserve">z wykorzystaniem  np. wzorów na pola </w:t>
              <w:br/>
              <w:t>i obwody poznanych wielokątów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złożone zadania tekstowe min. </w:t>
              <w:br/>
              <w:t>z wykorzystaniem  podziału proporcjonalnego, obniżek, podwyżek procentowych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złożone zadania tekstowe </w:t>
              <w:br/>
              <w:t>z wykorzystaniem  obliczeń procentowych dotyczące min. podwójnej obniżki, podwójnej podwyżki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nietypowe zadania tekstowe </w:t>
              <w:br/>
              <w:t>z wykorzystaniem  obliczeń procentowych (np. stężenia roztworów)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34.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Przekształcanie wzorów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zasady przekształcania wzorów i stosuje je</w:t>
              <w:br/>
              <w:t xml:space="preserve">w prostych zadaniach np.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t</m:t>
              </m:r>
            </m:oMath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wyznacza </w:t>
              <w:br/>
              <w:t>w typowych zadaniach wskazaną niewiadomą</w:t>
              <w:br/>
              <w:t>z podanego wzoru matematycznego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wyznacza wskazaną niewiadomą</w:t>
              <w:br/>
              <w:t>z podanego wzoru matematycznego, fizycznego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przekształca wzory, aby wyznaczyć daną wielkość w zadaniach</w:t>
              <w:br/>
              <w:t>o podwyższonym stopniu trudności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nietypowe wymagające przekształcenia wzoru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VII. FIGURY PŁASKIE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35.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Proste i odcinki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zaznacza punkty; rozróżnia i rysuje odcinki, proste, półproste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proste i odcinki równoległe, prostopadłe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proste</w:t>
              <w:br/>
              <w:t xml:space="preserve"> i odcinki równoległe oraz prostopadłe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 własności prostych równoległych</w:t>
              <w:br/>
              <w:t xml:space="preserve"> i prostopadłych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określa wzajemne położenie odcinków, prostych na podstawie podanych własności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odległość między punktami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odcinki, których długości są odległością punktu od prostej oraz dwóch różnych prostych równoległych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- wykorzystuje odległość między prostymi i punktem a prostą</w:t>
              <w:br/>
              <w:t xml:space="preserve"> w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- oblicza długości odcinków, wykorzystując podział proporcjonalny odcinka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- oblicza długości odcinków, wykorzystując podział proporcjonalny odcinka </w:t>
              <w:br/>
              <w:t>w złożonych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ustala kolejność punktów na prostej na podstawie podanych informacji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trudności, zadania nietypowe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36.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Kąty i ich rodzaje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Style w:val="Markedcontent"/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</w:t>
              <w:br/>
              <w:t xml:space="preserve"> w dowolnym kącie ramiona</w:t>
              <w:br/>
              <w:t xml:space="preserve"> i wierzchołek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rozróżnia kąty: zerowe, ostre, proste, rozwarte, półpełne, pełne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rozróżnia kąty: przyległe, wierzchołkowe, odpowiadające, naprzemianległe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porównuje kąty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kąty: proste, ostre, rozwarte, półpełne i pełne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kąty: przyległe, wierzchołkowe, odpowiadające, naprzemianległe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 prostych zadaniach własności kątów przyległych</w:t>
              <w:br/>
              <w:t xml:space="preserve"> i wierzchołkowych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rozróżnia kąty wypukłe</w:t>
              <w:br/>
              <w:t>i wklęsłe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</w:t>
              <w:br/>
              <w:t xml:space="preserve"> z własności prostych równoległych </w:t>
              <w:br/>
              <w:t>w typowych zadaniach, w szczególności</w:t>
              <w:br/>
              <w:t>własności kątów odpowiadających,</w:t>
              <w:br/>
              <w:t>naprzemianległych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o podwyższonym stopniu trudności</w:t>
              <w:br/>
              <w:t>z wykorzystaniem wszystkich własności poznanych kątów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przeprowadza dowody np. dotyczące sumy miar kątów wewnętrznych trójkąta, czworokąta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37.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Trójkąty i ich własności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rozróżnia trójkąty ze względu na miary kątów i długości boków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podaje nazwy boków trójkąta prostokątnego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własności w trójkątach równoramiennych (równość kątów przy podstawie)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nierówność trójkąta i stosuje ją </w:t>
              <w:br/>
              <w:t>w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kąty wewnętrzne trójkąta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stosuje w prostych zadaniach twierdzenie </w:t>
              <w:br/>
              <w:t>o sumie miar kątów wewnętrznych trójkąta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Markedcontent"/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rysuje wysokości</w:t>
              <w:br/>
              <w:t>w trójkącie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stosuje w typowych zadaniach twierdzenie </w:t>
              <w:br/>
              <w:t>o sumie miar kątów wewnętrznych trójkąta, w tym trójkąta równoramiennego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stosuje nierówność trójkąta w typowych </w:t>
              <w:br/>
              <w:t>w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wskazuje w trójkącie kąt o największej </w:t>
              <w:br/>
              <w:t>i najmniejszej mierze oraz związane z tymi kątami boki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miary kątów wewnętrznych trójkąta</w:t>
              <w:br/>
              <w:t>z wykorzystaniem podziału proporcjonalnego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miary kątów wewnętrznych trójkąta</w:t>
              <w:br/>
              <w:t>z wykorzystaniem poznanych własności poznanych kątów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uzasadnia własności trójkątów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„wykaż, że”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38.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Cechy przystawania trójkątów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trójkąty przystające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sprawdza na podstawie cech przystawania trójkątów, czy dwa trójkąty są przystające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typowe zadania z wykorzystaniem cech przystawania trójkątów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</w:t>
              <w:br/>
              <w:t>o podwyższonym stopniu z wykorzystaniem cech przystawania trójkątów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nietypowe wymagające uzasadnienia własności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39.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Twierdzenie Pitagorasa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podaje nazwy boków trójkąta prostokątnego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w trójkącie prostokątnym</w:t>
              <w:br/>
              <w:t xml:space="preserve"> w dowolnym położeniu przyprostokątne </w:t>
              <w:br/>
              <w:t>i przeciwprostokątną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zapisuje za pomocą symboli tezę twierdzenia Pitagorasa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długość przeciwprostokątnej przy danych długościach przyprostokątnych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długość dowolnego boku trójkąta prostokątnego, jeśli dane są długości dwóch pozostałych boków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twierdzenie Pitagorasa w prostych zadaniach tekstowych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stosuje twierdzenie Pitagorasa </w:t>
              <w:br/>
              <w:t>w typowych sytuacjach praktycznych (np. wysokość trójkąta równoramiennego)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 o podwyższonym stopniu trudności z wykorzystaniem twierdzenia Pitagorasa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dowodzi twierdzenie Pitagorasa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problemowe </w:t>
              <w:br/>
              <w:t>z wykorzystaniem twierdzenia Pitagorasa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40.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Trójkąt o kątach 45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, 45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</w:t>
              <w:br/>
              <w:t xml:space="preserve"> w prostych zadaniach wzór na długość przekątnej kwadratu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długości boków trójkąta prostokątnego równoramiennego, jeśli dana jest długość jednego </w:t>
              <w:br/>
              <w:t>z boków trójkąta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obwód </w:t>
              <w:br/>
              <w:t xml:space="preserve">i pole kwadratu </w:t>
              <w:br/>
              <w:t>o przekątnej danej długości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poznane zależności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 zadaniach praktycznych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wyprowadza wzór na długość przekątnej kwadratu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tekstowe </w:t>
              <w:br/>
              <w:t>z wykorzystaniem</w:t>
              <w:br/>
              <w:t>własności trójkąta o kątach 45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45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</w:t>
              <w:br/>
              <w:t>o podwyższonym stopniu trudności z wykorzystaniem poznanych własności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41.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Trójkąt o kątach 30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, 60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90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vertAlign w:val="superscript"/>
                <w:lang w:val="pl-PL" w:eastAsia="en-US" w:bidi="ar-SA"/>
              </w:rPr>
              <w:t xml:space="preserve"> o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</w:t>
              <w:br/>
              <w:t xml:space="preserve"> w prostych zadaniach wzór na wysokość trójkąta równobocznego o danej długości 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</w:t>
              <w:br/>
              <w:t xml:space="preserve">w prostych zadaniach wzór na pole trójkąta równobocznego </w:t>
              <w:br/>
              <w:t>o danej długości boku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długości boków trójkąta o kątach 30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60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gdy dana jest długość jednego</w:t>
              <w:br/>
              <w:t>z boków trójkąta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obwód trójkąta równobocznego</w:t>
              <w:br/>
              <w:t xml:space="preserve"> o danej wysokości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poznane zależności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 zadaniach praktycznych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poznane zależności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 zadaniach praktycznych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wyprowadza wzór na wysokość trójkąta równobocznego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tekstowe</w:t>
              <w:br/>
              <w:t>z wykorzystaniem</w:t>
              <w:br/>
              <w:t>własności trójkąta o kątach 30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60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</w:t>
              <w:br/>
              <w:t>o podwyższonym stopniu trudności z wykorzystaniem poznanych własności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42.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Dowody w geometrii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wie, jak zbudowane jest twierdzenie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wyróżnia</w:t>
              <w:br/>
              <w:t xml:space="preserve">w twierdzeniu założenie </w:t>
              <w:br/>
              <w:t>i tezę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rozróżnia hipotezy (przypuszczenia) prawdziwe</w:t>
              <w:br/>
              <w:t xml:space="preserve"> i fałszywe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potrafi podać kontrprzykład dla hipotezy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przeprowadza dowody mało złożonych twierdzeń geometrycznych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przeprowadza dowody bardziej złożonych twierdzeń geometrycznych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przeprowadza dowody złożonych twierdzeń geometrycznych</w:t>
            </w:r>
          </w:p>
        </w:tc>
      </w:tr>
      <w:tr>
        <w:trPr/>
        <w:tc>
          <w:tcPr>
            <w:tcW w:w="14111" w:type="dxa"/>
            <w:gridSpan w:val="7"/>
            <w:tcBorders/>
            <w:shd w:color="auto" w:fill="E0C1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DZIAŁ VIII. WIELOKĄTY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43.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Prostokąt i kwadrat, jednostki pola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kwadraty i prostokąty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wskazuje boki </w:t>
              <w:br/>
              <w:t>oraz przekątne kwadratu i prostokąta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wzór na długość przekątnej kwadratu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jednostki pola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kwadratu </w:t>
              <w:br/>
              <w:t>i prostokąta w prostych zadaniach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zamienia jednostki pola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proste zadania z zamianą jednostek pola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kwadratu </w:t>
              <w:br/>
              <w:t xml:space="preserve">i prostokąta </w:t>
              <w:br/>
              <w:t xml:space="preserve">w złożonych zadaniach, w tym </w:t>
              <w:br/>
              <w:t>w zadaniach</w:t>
              <w:br/>
              <w:t>z kontekstem praktycznym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złożone z wykorzystaniem własności prostokąta</w:t>
              <w:br/>
              <w:t xml:space="preserve"> i kwadratu oraz twierdzenia Pitagorasa </w:t>
              <w:br/>
              <w:t xml:space="preserve">i własności trójkątów </w:t>
              <w:br/>
              <w:t>o kątach 45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45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i 30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60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kwadratu</w:t>
              <w:br/>
              <w:t>i prostokąta</w:t>
              <w:br/>
              <w:t>w zadaniach nietypowych</w:t>
              <w:br/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44.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Pole trójkąta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wzór na pole trójkąta i oblicza pole trójkąta w prostych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trójkąta prostokątnego, gdy dane są długości przyprostokątnych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trójkąta</w:t>
              <w:br/>
              <w:t xml:space="preserve"> w typowych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trójkąta prostokątnego, gdy dana jest długość jednej przyprostokątnej oraz długość przeciwprostokątnej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złożone z wykorzystaniem wzoru na pole trójkąta, w tym oblicza najkrótszą wysokość </w:t>
              <w:br/>
              <w:t>w trójkącie prostokątnym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trójkąta równobocznego </w:t>
              <w:br/>
              <w:t xml:space="preserve"> o danej długości 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trójkąta równoramiennego o danych długościach boków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trójkąta</w:t>
              <w:br/>
              <w:t xml:space="preserve">w typowych zadaniach </w:t>
              <w:br/>
              <w:t>z kontekstem realistycznym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trójkąta prostokątnego </w:t>
              <w:br/>
              <w:t>o kątach 45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45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trójkąta równobocznego </w:t>
              <w:br/>
              <w:t xml:space="preserve"> o danej wysokości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długość boku trójkąta równobocznego </w:t>
              <w:br/>
              <w:t>o danym polu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wyprowadza wzór na pole trójkąta równobocznego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trójkąta</w:t>
              <w:br/>
              <w:t xml:space="preserve">w złożonych zadaniach </w:t>
              <w:br/>
              <w:t>z kontekstem realistycznym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trójkąta prostokątnego</w:t>
              <w:br/>
              <w:t>o kątach 30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60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90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vertAlign w:val="superscript"/>
                <w:lang w:val="pl-PL" w:eastAsia="en-US" w:bidi="ar-SA"/>
              </w:rPr>
              <w:t>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trójkąta w zadaniach nietypowych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wzór na pole trójkąta w zadaniach typu „wykaż, że”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45.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Równoległobok i romb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romby i równoległoboki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wskazuje boki, przekątne oraz kąty </w:t>
              <w:br/>
              <w:t>w rombie</w:t>
              <w:br/>
              <w:t xml:space="preserve"> i równoległoboku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własności rombu </w:t>
              <w:br/>
              <w:t>i równoległoboku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równoległoboku</w:t>
              <w:br/>
              <w:t>i rombu w prostych zadaniach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własności równoległoboku</w:t>
              <w:br/>
              <w:t xml:space="preserve"> i rombu</w:t>
              <w:br/>
              <w:t xml:space="preserve"> w prostych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równoległoboku</w:t>
              <w:br/>
              <w:t xml:space="preserve">i rombu </w:t>
              <w:br/>
              <w:t>w typowych zadaniach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równoległoboku</w:t>
              <w:br/>
              <w:t xml:space="preserve">i rombu </w:t>
              <w:br/>
              <w:t>w złożonych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równoległoboku</w:t>
              <w:br/>
              <w:t>i rombu</w:t>
              <w:br/>
              <w:t xml:space="preserve"> w typowych zadaniach </w:t>
              <w:br/>
              <w:t>praktycznych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wzory na obliczanie pola równoległoboku</w:t>
              <w:br/>
              <w:t>i rombu do obliczania wysokości</w:t>
              <w:br/>
              <w:t>i długości boków tych czworokątów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wyprowadza wzory na pole równoległoboku </w:t>
              <w:br/>
              <w:t>i rombu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uzasadnia własności równoległoboku</w:t>
              <w:br/>
              <w:t xml:space="preserve"> i rombu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46.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Trapez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trapezy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wskazuje i nazywa boki oraz wskazuje przekątne i kąty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trapezu w prostych zadaniach </w:t>
              <w:br/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miary kątów wewnętrznych trapezu w prostych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pole trapezu</w:t>
              <w:br/>
              <w:t>w typowych zadaniach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rozróżnia trapezy równoramienne</w:t>
              <w:br/>
              <w:t>i trapezy prostokątne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miary kątów wewnętrznych trapezu </w:t>
              <w:br/>
              <w:t>w złożonych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oblicza pole trapezu </w:t>
              <w:br/>
              <w:t>w złożonych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korzysta ze wzoru na pole trapezu</w:t>
              <w:br/>
              <w:t xml:space="preserve"> w zadaniach </w:t>
              <w:br/>
              <w:t>praktycznych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wykorzystuje wzory na obliczanie pola trapezu do obliczania wysokości</w:t>
              <w:br/>
              <w:t>i długości boków trapezu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wyprowadza wzory na pole trapezu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uzasadnia własności trapezu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typu „wykaż, że” </w:t>
              <w:br/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47.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Kąty w wielokątach, pola wielokątów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</w:t>
              <w:br/>
              <w:t xml:space="preserve"> w prostych zadaniach wzór na sumę kątów wewnętrznych dowolnego czworokąta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 prostych zadaniach pole dowolnego wielokąta jako sumę pól trójkątów lub czworokątów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</w:t>
              <w:br/>
              <w:t xml:space="preserve"> w prostych zadaniach wzór na liczbę przekątnych wielokąta o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bokach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 prostych zadaniach pole dowolnego wielokąta jako sumę pól trójkątów lub czworokątów lub przez uzupełnianie do większych wielokątów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proste zadania tekstowe związane </w:t>
              <w:br/>
              <w:t>z obliczaniem pól</w:t>
              <w:br/>
              <w:t xml:space="preserve"> i obwodów dowolnych wielokątów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umie klasyfikować czworokąty na podstawie kątów </w:t>
              <w:br/>
              <w:t>i długości boków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</w:t>
              <w:br/>
              <w:t xml:space="preserve"> w prostych zadaniach wzór na liczbę przekątnych wielokąta o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bokach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w prostych zadaniach pole dowolnego wielokąta jako sumę pól trójkątów lub czworokątów albo przez uzupełnianie do większych wielokątów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praktyczne związane </w:t>
              <w:br/>
              <w:t>z obliczaniem pól</w:t>
              <w:br/>
              <w:t xml:space="preserve"> i obwodów dowolnych wielokątów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złożone, w tym zadania praktyczne związane </w:t>
              <w:br/>
              <w:t>z obliczaniem pól</w:t>
              <w:br/>
              <w:t xml:space="preserve"> i obwodów dowolnych wielokątów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deltoid, oblicza długości jego przekątnych oraz pole deltoidu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uzasadnia wzory na pola wielokątów </w:t>
              <w:br/>
              <w:t xml:space="preserve"> i przekształca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złożone dotyczące różnych wielokątów</w:t>
            </w:r>
          </w:p>
        </w:tc>
      </w:tr>
      <w:tr>
        <w:trPr/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48.</w:t>
            </w:r>
          </w:p>
        </w:tc>
        <w:tc>
          <w:tcPr>
            <w:tcW w:w="24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Wielokąty foremne i ich własności</w:t>
            </w:r>
          </w:p>
        </w:tc>
        <w:tc>
          <w:tcPr>
            <w:tcW w:w="2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rozpoznaje wielokąty foremne i  je nazywa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własności wielokątów foremnych dotyczących boków</w:t>
              <w:br/>
              <w:t xml:space="preserve"> i 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wie, co oznacza stwierdzenie „okrąg opisany na wielokącie”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zna wzór na miarę kąta wewnętrznego dowolnego wielokąta foremnego </w:t>
              <w:br/>
              <w:t xml:space="preserve">i stosuje go </w:t>
              <w:br/>
              <w:t>w prostych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i stosuje w prostych zadaniach wzór na pole sześciokąta foremnego</w:t>
            </w:r>
          </w:p>
        </w:tc>
        <w:tc>
          <w:tcPr>
            <w:tcW w:w="2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liczbę boków wielokąta foremnego, gdy dana jest miara kąta wewnętrznego wielokąta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 wzory na długości przekątnych w sześciokącie foremnym i  je oblicza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stosuje w typowych zadaniach wzór na pole sześciokąta foremnego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oblicza obwód i pole sześciokąta foremnego, gdy dane są długości przekątnych sześciokąta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złożone dotyczące własności sześciokąta foremnego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wyprowadza wzór na miarę kąta wewnętrznego dowolnego wielokąta foremnego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wyprowadza wzory na długość dłuższej oraz krótszej przekątnej sześciokąta foremnego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rozwiązuje zadania złożone, w tym zadania praktyczne związane </w:t>
              <w:br/>
              <w:t>z obliczaniem pola sześciokąta foremnego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 okręgiem opisanym na sześciokącie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rozwiązuje zadania typu „uzasadnij, że”</w:t>
            </w:r>
          </w:p>
        </w:tc>
      </w:tr>
    </w:tbl>
    <w:p>
      <w:pPr>
        <w:pStyle w:val="Normal"/>
        <w:rPr>
          <w:rFonts w:cs="Lato"/>
          <w:b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0" w:top="170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 w:hanging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left="-567" w:hanging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 w:hanging="0"/>
      <w:rPr>
        <w:lang w:eastAsia="pl-PL"/>
      </w:rPr>
    </w:pPr>
    <w:r>
      <w:rPr>
        <w:lang w:eastAsia="pl-PL"/>
      </w:rPr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right="113" w:hanging="0"/>
      <w:jc w:val="right"/>
      <w:rPr>
        <w:sz w:val="16"/>
        <w:szCs w:val="16"/>
        <w:lang w:eastAsia="pl-PL"/>
      </w:rPr>
    </w:pPr>
    <w:r>
      <w:rPr>
        <w:sz w:val="16"/>
        <w:szCs w:val="16"/>
        <w:lang w:eastAsia="pl-PL"/>
      </w:rPr>
    </w:r>
  </w:p>
  <w:p>
    <w:pPr>
      <w:pStyle w:val="Stopka"/>
      <w:spacing w:lineRule="exact" w:line="160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Stopka"/>
      <w:spacing w:lineRule="exact" w:line="160" w:before="240" w:after="0"/>
      <w:ind w:left="-1417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8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-1418" w:hanging="0"/>
      <w:rPr/>
    </w:pPr>
    <w:r>
      <w:rPr/>
    </w:r>
  </w:p>
  <w:p>
    <w:pPr>
      <w:pStyle w:val="Gwka"/>
      <w:tabs>
        <w:tab w:val="clear" w:pos="4536"/>
        <w:tab w:val="clear" w:pos="9072"/>
        <w:tab w:val="left" w:pos="5591" w:leader="none"/>
      </w:tabs>
      <w:ind w:left="-1418" w:hanging="0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left="907" w:hanging="340"/>
      <w:jc w:val="both"/>
      <w:rPr>
        <w:rFonts w:ascii="Calibri" w:hAnsi="Calibri" w:cs="Calibri"/>
        <w:color w:val="FFFFFF"/>
        <w:sz w:val="20"/>
        <w:szCs w:val="20"/>
      </w:rPr>
    </w:pPr>
    <w:r>
      <w:rPr>
        <w:rFonts w:cs="Calibri" w:ascii="Calibri" w:hAnsi="Calibri" w:asciiTheme="minorHAnsi" w:cstheme="minorHAnsi" w:hAnsi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 | Matematyka | Klasa 7</w:t>
      <w:tab/>
      <w:t>Wymagania edukacyjne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347527"/>
    <w:rPr>
      <w:color w:val="808080"/>
    </w:rPr>
  </w:style>
  <w:style w:type="character" w:styleId="Markedcontent" w:customStyle="1">
    <w:name w:val="markedcontent"/>
    <w:basedOn w:val="DefaultParagraphFont"/>
    <w:qFormat/>
    <w:rsid w:val="00ab62e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 w:hanging="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9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Default" w:customStyle="1">
    <w:name w:val="Default"/>
    <w:qFormat/>
    <w:rsid w:val="00be3541"/>
    <w:pPr>
      <w:widowControl/>
      <w:suppressAutoHyphens w:val="true"/>
      <w:bidi w:val="0"/>
      <w:spacing w:lineRule="auto" w:line="24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F864-F1B4-47BC-BD33-FEAFE50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LibreOffice/7.4.4.2$Windows_X86_64 LibreOffice_project/85569322deea74ec9134968a29af2df5663baa21</Application>
  <AppVersion>15.0000</AppVersion>
  <Pages>25</Pages>
  <Words>4175</Words>
  <Characters>26177</Characters>
  <CharactersWithSpaces>29951</CharactersWithSpaces>
  <Paragraphs>554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2023-06-22T12:47:00Z</dcterms:created>
  <dc:creator>Marta Jedlinska</dc:creator>
  <dc:description/>
  <dc:language>pl-PL</dc:language>
  <cp:lastModifiedBy/>
  <dcterms:modified xsi:type="dcterms:W3CDTF">2024-10-08T19:08:50Z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