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/>
          <w:b/>
          <w:b/>
          <w:color w:val="E36C0A"/>
          <w:sz w:val="28"/>
          <w:szCs w:val="28"/>
        </w:rPr>
      </w:pPr>
      <w:r>
        <w:rPr>
          <w:rFonts w:cs="Calibri" w:cstheme="minorHAnsi"/>
          <w:b/>
          <w:color w:val="E36C0A" w:themeColor="accent6" w:themeShade="bf"/>
          <w:sz w:val="28"/>
          <w:szCs w:val="28"/>
        </w:rPr>
        <w:t>KATALOG WYMAGAŃ PROGRAMOWYCH NA POSZCZEGÓLNE STOPNIE SZKOLNE</w:t>
      </w:r>
    </w:p>
    <w:p>
      <w:pPr>
        <w:pStyle w:val="Normal"/>
        <w:rPr>
          <w:rFonts w:cs="Calibri"/>
          <w:b/>
          <w:b/>
          <w:color w:val="E36C0A"/>
          <w:sz w:val="28"/>
          <w:szCs w:val="28"/>
        </w:rPr>
      </w:pPr>
      <w:r>
        <w:rPr>
          <w:rFonts w:cs="Calibri" w:cstheme="minorHAnsi"/>
          <w:b/>
          <w:color w:val="E36C0A" w:themeColor="accent6" w:themeShade="bf"/>
          <w:sz w:val="28"/>
          <w:szCs w:val="28"/>
        </w:rPr>
        <w:t>Matematyka kl.6</w:t>
      </w:r>
      <w:r>
        <w:rPr>
          <w:rFonts w:cs="Calibri" w:cstheme="minorHAnsi"/>
          <w:b/>
          <w:color w:val="E36C0A" w:themeColor="accent6" w:themeShade="bf"/>
          <w:sz w:val="28"/>
          <w:szCs w:val="28"/>
        </w:rPr>
        <w:t xml:space="preserve"> </w:t>
      </w:r>
    </w:p>
    <w:p>
      <w:pPr>
        <w:pStyle w:val="Normal"/>
        <w:rPr>
          <w:rFonts w:cs="Calibri"/>
          <w:b/>
          <w:b/>
          <w:sz w:val="20"/>
          <w:szCs w:val="20"/>
        </w:rPr>
      </w:pPr>
      <w:r>
        <w:rPr>
          <w:rFonts w:cs="Calibri" w:cstheme="minorHAnsi"/>
          <w:sz w:val="20"/>
          <w:szCs w:val="20"/>
        </w:rPr>
        <w:t>Kategorie celu zostały określone następująco: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• </w:t>
      </w:r>
      <w:r>
        <w:rPr>
          <w:rFonts w:cs="Calibri" w:cstheme="minorHAnsi"/>
          <w:sz w:val="20"/>
          <w:szCs w:val="20"/>
        </w:rPr>
        <w:t>dotyczy wiadomości</w:t>
        <w:tab/>
        <w:tab/>
        <w:tab/>
        <w:t xml:space="preserve"> • dotyczy przetwarzania wiadomości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</w:t>
      </w:r>
      <w:r>
        <w:rPr>
          <w:rFonts w:cs="Calibri" w:cstheme="minorHAnsi"/>
          <w:sz w:val="20"/>
          <w:szCs w:val="20"/>
        </w:rPr>
        <w:t>A – uczeń zna</w:t>
        <w:tab/>
        <w:tab/>
        <w:t xml:space="preserve">                                    C – uczeń stosuje wiadomości w sytuacjach typowych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</w:t>
      </w:r>
      <w:r>
        <w:rPr>
          <w:rFonts w:cs="Calibri" w:cstheme="minorHAnsi"/>
          <w:sz w:val="20"/>
          <w:szCs w:val="20"/>
        </w:rPr>
        <w:t>B – uczeń rozumie</w:t>
        <w:tab/>
        <w:tab/>
        <w:t xml:space="preserve">                    D – uczeń stosuje wiadomości w sytuacjach problemowych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Style w:val="Tabela-Siatka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"/>
        <w:gridCol w:w="340"/>
        <w:gridCol w:w="339"/>
        <w:gridCol w:w="338"/>
        <w:gridCol w:w="341"/>
        <w:gridCol w:w="7512"/>
        <w:gridCol w:w="1276"/>
      </w:tblGrid>
      <w:tr>
        <w:trPr/>
        <w:tc>
          <w:tcPr>
            <w:tcW w:w="10484" w:type="dxa"/>
            <w:gridSpan w:val="7"/>
            <w:tcBorders/>
            <w:shd w:color="auto" w:fill="FFC00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Opis osiągnięć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Liczby naturalne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zadania dotyczące obliczania wydatków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eastAsia="Trebuchet MS" w:cs="Calibri"/>
                <w:b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dodaje, odejmuje, mnoży, dzieli liczby naturalne w pamięci i sposobem </w:t>
              <w:br/>
              <w:t xml:space="preserve">    pisemnym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zadanie tekstowe z zastosowaniem działań na liczbach naturalnych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 zbiorze liczb naturalnych wskazuje liczby podzielne przez 2, 5, 10, 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NWW i NWD pary liczb jednocyfrowych lub par liczb typu: 6 i 18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przedstawia liczbę dwucyfrową typu 10, 15 jako iloczyn liczb pierwszych wybranym przez siebie sposobem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wykonuje proste obliczenia zegarowe na godzinach, minutach i sekundach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średnią arytmetyczną dwóch liczb naturalnych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wykonuje cztery podstawowe działania w pamięci lub sposobem pisemnym </w:t>
              <w:br/>
              <w:t xml:space="preserve">   w zbiorze liczb naturalnych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wykonuje dzielenie z resztą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kolejność wykonywania działań w dwu- lub trzydziałaniowych wyrażeniach arytmetycznych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nieskomplikowane zadania tekstowe z zastosowaniem działań na liczbach naturalnych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proste zadania tekstowe z zastosowaniem obliczeń związanych </w:t>
              <w:br/>
              <w:t xml:space="preserve">   z upływem  czasu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równania o podstawowym stopniu trudności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wykonuje proste obliczenia kalendarzowe na dniach, tygodniach, miesiącach, latach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w zbiorze liczb naturalnych liczby podzielne przez 4, 3, 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rozkłada liczbę dwucyfrową na czynniki pierwsze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NWW i N</w:t>
            </w:r>
            <w:bookmarkStart w:id="0" w:name="_GoBack"/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</w:t>
            </w:r>
            <w:bookmarkEnd w:id="0"/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D pary liczb co najwyżej dwucyfrowych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średnią arytmetyczną dwóch lub trzech liczb naturalnych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i wyjaśnia algorytmy działań pisemnych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działania na liczbach naturalnych do rozwiązywania typowych zadań tekstowych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wartość wyrażenia arytmetycznego wielodziałaniowego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wykonuje dzielenie z resztą i sprawdza wynik działania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obliczanie średniej arytmetycznej do rozwiązywania nieskomplikowanych zadań tekstowych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wyjaśnia pojęcia: dzielnik, wielokrotność, liczba pierwsza i złożona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cechy podzielności liczb przez 2, 3, 4, 5, 9, 10, 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ocenia, które z danych liczb są podzielne przez 2, 3, 4, 5, 9, 10, 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 podstawie rozkładu liczby na czynniki pierwsze podaje wszystkie dzielniki liczby złożonej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NWW i NWD par liczb typu: (200, 72) lub (150, 270)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objaśnia sposób obliczania niewiadomej w dodawaniu, odejmowaniu, mnożeniu, dzieleniu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o podwyższonym stopniu trudności z zastosowaniem obliczeń zegarowych i kalendarzowych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wartość wyrażenia arytmetycznego z zastosowaniem nawiasów okrągłych </w:t>
              <w:br/>
              <w:t>i kwadratowych oraz wyjaśnia kolejność wykonywania działań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o podwyższonym stopniu trudności z zastosowaniem działań na liczbach naturalnych i równań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weryfikuje wynik zadania tekstowego, ocenia sensowność rozwiązania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wyjaśnia poznane cechy podzielności liczb naturalnych i stosuje je w zadaniach tekstowych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wyjaśnia sposób obliczania NWW i NWD pary liczb naturalnych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stosuje obliczanie średniej arytmetycznej liczb naturalnych w rozwiązywaniu zadań </w:t>
              <w:br/>
              <w:t>o podwyższonym stopniu trudności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uzasadnia wykonalność działań w zbiorze liczb naturalnych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uzupełnia brakujące cyfry w liczbach wielocyfrowych tak, aby spełniały wskazaną cechę podzielności oraz ustala liczbę rozwiązań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 z zastosowaniem działań na liczbach naturalnych</w:t>
            </w:r>
          </w:p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Wyrażenia algebraiczne i równania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nazywa i zapisuje proste wyrażenia algebraiczne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wykorzystuje wyrażenia algebraiczne do zapisu wzoru na obwód kwadratu, prostokąta </w:t>
              <w:br/>
              <w:t xml:space="preserve">    i trójkąta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wartość liczbową prostych wyrażeń algebraicznych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przez podstawianie lub zgadywanie proste równania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nazywa i zapisuje nieskomplikowane wyrażenia algebraiczne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wykorzystuje wyrażenia algebraiczne do zapisu treści prostego zadania tekstowego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wartości liczbowe nieskomplikowanych wyrażeń algebraicznych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wykorzystuje wyrażenia algebraiczne do zapisu wzoru na obwody trójkąta i czworokąta, korzystając z oznaczeń na rysunkach i oblicza wartości liczbowe zapisanych wyrażeń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nieskomplikowane równania i sprawdza poprawność rozwiązania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 pomocą równań proste zadania tekstowe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nazywa i zapisuje wyrażenia algebraiczne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wartości liczbowe wyrażeń algebraicznych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zapisuje dzielenie z resztą liczby </w:t>
            </w:r>
            <w:r>
              <w:rPr>
                <w:rStyle w:val="Teksttreci27ptBezpogrubieniaKursyw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a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przez liczbę </w:t>
            </w:r>
            <w:r>
              <w:rPr>
                <w:rStyle w:val="Teksttreci27ptBezpogrubieniaKursyw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b,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gdy </w:t>
            </w:r>
            <w:r>
              <w:rPr>
                <w:rStyle w:val="Teksttreci27ptBezpogrubieniaKursyw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q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jest ilorazem, a </w:t>
            </w:r>
            <w:r>
              <w:rPr>
                <w:rStyle w:val="Teksttreci27ptBezpogrubieniaKursyw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resztą oraz uzasadnia poprawność wykonania tego dzielenia korzystając z wyrażeń algebraicznych, zapisuje równość typu </w:t>
            </w:r>
            <w:r>
              <w:rPr>
                <w:rStyle w:val="Teksttreci27ptBezpogrubieniaKursyw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a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= </w:t>
            </w:r>
            <w:r>
              <w:rPr>
                <w:rStyle w:val="Teksttreci27ptBezpogrubieniaKursyw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b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∙ </w:t>
            </w:r>
            <w:r>
              <w:rPr>
                <w:rStyle w:val="Teksttreci27ptBezpogrubieniaKursyw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q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+ </w:t>
            </w:r>
            <w:r>
              <w:rPr>
                <w:rStyle w:val="Teksttreci265ptBezpogrubienia"/>
                <w:rFonts w:eastAsia="Calibri" w:cs="Calibri" w:cstheme="minorHAnsi"/>
                <w:b w:val="false"/>
                <w:i/>
                <w:kern w:val="0"/>
                <w:sz w:val="20"/>
                <w:szCs w:val="20"/>
                <w:lang w:val="pl-PL" w:eastAsia="en-US" w:bidi="ar-SA"/>
              </w:rPr>
              <w:t>r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wykorzystuje wyrażenia algebraiczne do zapisu treści zadań tekstowych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oznacza literami długości boków trójkątów i czworokątów, zapisuje za pomocą wyrażeń algebraicznych wzory na obwody tych figur oraz oblicza wartość liczbową zapisanych wyrażeń dla podanych wartości zmiennych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równania, obliczając składnik, odjemną, odjemnik, czynnik, dzielną, dzielnik </w:t>
              <w:br/>
              <w:t>i sprawdza poprawność rozwiązania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nieskomplikowane zadania tekstowe za pomocą równań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nazywa, zapisuje i oblicza wartości liczbowe dowolnych wyrażeń algebraicznych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równania i wyjaśnia sposób obliczenia niewiadomej oraz sprawdza poprawność rozwiązania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zapisuje treści praktycznych zadań tekstowych za pomocą wyrażeń algebraicznych </w:t>
              <w:br/>
              <w:t>i oblicza ich wartość liczbową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wyrażenia algebraiczne w geometrii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1696" w:type="dxa"/>
            <w:gridSpan w:val="5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uzasadnia sposób zapisu wyrażenia algebraicznego i obliczenia jego wartości liczbowej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 z zastosowaniem równań i weryfikuje wynik zadania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Własności figur płaskich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rozróżnia i nazywa podstawowe figury płaskie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mierzy długość odcinka i podaje ją w odpowiednich jednostkach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wymienia jednostki długości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rozpoznaje odcinki oraz proste prostopadłe i równoległe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wyróżnia wierzchołki, boki i kąty wielokątów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rozróżnia rodzaje 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mierzy kąty mniejsze od kąta półpełnego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obwód wielokąta, gdy długości boków są liczbami naturalnymi wyrażonymi </w:t>
              <w:br/>
              <w:t xml:space="preserve">   w takich samych jednostkach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trójkąt na podstawie jego nazwy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średnicę, promień, cięciwę koła i okręgu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figury symetryczne w najbliższym otoczeniu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wysokości w trójkącie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nazwy czworokątów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wysokości trójkątów i czworokątów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kwadrat, prostokąt w skali 1 : 1, 1 : 2, 2 : 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osie symetrii w narysowanych figurach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wymienia korzystając z rysunków lub modeli czworokątów i trójkątów </w:t>
              <w:br/>
              <w:t xml:space="preserve">   ich podstawowe własności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proste oraz odcinki prostopadłe i równoległe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jednostki długości w prostych przypadkach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odcinek będący odległością między prostymi równoległymi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rozróżnia kąty wierzchołkowe i przyległe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mierzy i rysuje kąty ostre, proste, rozwarte, półpełne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mierzy kąty wewnętrzne trójkąta i czworokąta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sumę miar kątów wewnętrznych trójkąta i czworokąta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wskazane trójkąty i czworokąty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wysokości w trójkątach i trapezach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rozróżnia trójkąty i czworokąty na podstawie ich własności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zadania z zastosowaniem własności figur płaskich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stosuje twierdzenie o sumie kątów w trójkącie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stosuje twierdzenie o sumie kątów w czworokącie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konstruuje trójkąt z trzech odcinków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wyrażenie algebraiczne opisujące obwód wielokąta i oblicza jego</w:t>
              <w:br/>
              <w:t xml:space="preserve">   wartość liczbową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słownie wzory na obwody trójkątów i czworokątów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odbicie symetryczne figury mając daną oś symetrii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liczbę osi symetrii w trójkątach i czworokątach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rysuje figury w podanej skali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– proste przykłady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symbolicznie równoległość i prostopadłość odcinków i prostych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wyznacza odległość punktu od prostej i odległość dwóch prostych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miary kątów wierzchołkowych i przyległych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i wyjaśnia warunek konstrukcji trójkąta z danych odcinków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własności trójkątów i czworokątów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trójkąty i czworokąty o podanych własnościach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wielokąty foremne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tekstowe dotyczące obliczania miar </w:t>
              <w:br/>
              <w:t xml:space="preserve">   kątów wewnętrznych wielokątów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z zastosowaniem własności trójkątów i czworokątów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obwody wielokątów, gdy długości boków są wyrażone w różnych jednostkach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wyjaśnia, które z trójkątów i czworokątów są osiowosymetryczne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figury w dowolnej skali i oblicza rzeczywiste długości boków mając dane ich długości w skali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wielokąty foremne i opisuje ich własności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własności czworokątów i trójkątów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buduje trójkąt, gdy dane ma 2 odcinki i kąt lub odcinek i 2 kąty z wykorzystaniem linijki </w:t>
              <w:br/>
              <w:t>i kątomierza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nazwę wielokąta na podstawie liczby jego osi symetrii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o podwyższonym stopniu trudności z zastosowaniem </w:t>
              <w:br/>
              <w:t xml:space="preserve">   własności trójkątów i czworokątów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170" w:hRule="atLeast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dotyczące obliczania miar kątów w wielokątach, </w:t>
              <w:br/>
              <w:t xml:space="preserve">   w różnych sytuacjach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170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 z wykorzystaniem własności wielokątów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Działania na ułamkach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w ułamku: licznik, mianownik, kreskę ułamkową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5ptBezpogrubienia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ułamek w postaci dzielenia i odwrotnie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skraca i rozszerza ułamki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ułamki zwykłe o jednakowych licznikach lub mianownikach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sprowadza ułamki do wspólnego mianownika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przedstawia ułamek zwykły w postaci ułamka dziesiętnego przez rozszerzanie </w:t>
              <w:br/>
              <w:t xml:space="preserve">   ułamka lub za pomocą kalkulatora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porównuje ułamki zwykłe o różnych mianownikach na podstawie rysunku – </w:t>
              <w:br/>
              <w:t xml:space="preserve">  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dodaje i odejmuje ułamki o różnych mianownikach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7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mnoży ułamki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7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znajduje liczbę odwrotną do danej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7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dzieli ułamki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iloczyn dwóch jednakowych czynników w postaci potęgi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czyta i zapisuje proste ułamki dziesiętne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przybliżenie liczby dziesiętnej z dokładnością do całości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ułamki dziesiętne na zwykłe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dodaje i odejmuje ułamki dziesiętne w pamięci lub sposobem pisemnym, </w:t>
              <w:br/>
              <w:t xml:space="preserve">   sprawdza wyniki za pomocą kalkulatora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mnoży i dzieli liczby dziesiętne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wymienia jednostki drogi, prędkości, czasu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zadania tekstowe dotyczące obliczania prędkości, drogi, czasu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nieskomplikowane zadania tekstowe KO z zastosowaniem działań na ułamkach zwykłych i dziesiętnych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ułamki zwykłe o różnych mianownikach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zaznacza ułamki zwykłe i dziesiętne na osi liczbowej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dodaje, odejmuje, mnoży, dzieli ułamki zwykłe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dodaje, odejmuje, mnoży, dzieli ułamki dziesiętne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ułamki dziesiętne na zwykłe i odwrotnie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wykorzystuje kalkulator do znajdywania rozwinięć dziesiętnych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47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ułamki zwykłe i dziesiętne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wartości prostych dwu- lub trzydziałaniowych wyrażeń arytmetycznych, </w:t>
              <w:br/>
              <w:t>w których występują ułamki zwykłe i dziesiętne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ułamek danej liczby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4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liczbę na podstawie jej ułamka korzystając z ilustracji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drugą i trzecią potęgę ułamka zwykłego i dziesiętnego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4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iCs/>
                <w:kern w:val="0"/>
                <w:sz w:val="20"/>
                <w:szCs w:val="20"/>
                <w:lang w:val="pl-PL" w:eastAsia="en-US" w:bidi="ar-SA"/>
              </w:rPr>
              <w:t xml:space="preserve">rozwiązuje proste równania, w których występują ułamki, np.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4</m:t>
                  </m:r>
                </m:den>
              </m:f>
            </m:oMath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+ </w:t>
            </w:r>
            <w:r>
              <w:rPr>
                <w:rStyle w:val="Teksttreci26"/>
                <w:rFonts w:eastAsia="Calibri" w:cs="Calibri" w:cstheme="minorHAnsi"/>
                <w:b w:val="false"/>
                <w:i/>
                <w:kern w:val="0"/>
                <w:sz w:val="20"/>
                <w:szCs w:val="20"/>
                <w:lang w:val="pl-PL" w:eastAsia="en-US" w:bidi="ar-SA"/>
              </w:rPr>
              <w:t>a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 = 5</w:t>
            </w:r>
            <w:r>
              <w:rPr>
                <w:rStyle w:val="Teksttreci26"/>
                <w:rFonts w:eastAsia="Calibri" w:cs="Calibri" w:cstheme="minorHAnsi"/>
                <w:b w:val="false"/>
                <w:iCs/>
                <w:kern w:val="0"/>
                <w:sz w:val="20"/>
                <w:szCs w:val="20"/>
                <w:lang w:val="pl-PL" w:eastAsia="en-US" w:bidi="ar-SA"/>
              </w:rPr>
              <w:t>, stosuje własności działań odwrotnych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przybliżenia liczb z dokładnością do 0,1; 0,01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4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przykłady ułamków zwykłych o rozwinięciu dziesiętnym skończonym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114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sprawdza przy użyciu kalkulatora, które ułamki mają rozwinięcie dziesiętne nieskończone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11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zadania, w których występuje porównywanie różnicowe, ilorazowe oraz obliczanie ułamka danej liczby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11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nieskomplikowane zamknięte i otwarte zadania tekstowe na obliczanie drogi, prędkości, czasu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ułamki zwykłe i dziesiętne, dobiera dogodną metodę ich porównywania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odczytuje ułamki zwykłe i dziesiętne zaznaczone na osi liczbowej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objaśnia sposoby zamiany ułamka dziesiętnego na zwykły i odwrotnie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wartość wyrażenia arytmetycznego o podwyższonym stopniu trudności </w:t>
              <w:br/>
              <w:t xml:space="preserve">   z zastosowaniem działań na ułamkach zwykłych i dziesiętnych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równania pierwszego stopnia z jedną niewiadomą, w której </w:t>
              <w:br/>
              <w:t xml:space="preserve">   występują ułamki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ułamek danej liczby i znajduje liczbę na podstawie danego jej ułamka </w:t>
              <w:br/>
              <w:t>i stosuje te obliczenia w otwartych i zamkniętych zadaniach tekstowych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wyznacza liczbę, która powstaje po powiększeniu lub pomniejszeniu o pewną część innej liczby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ocenia, który ułamek zwykły ma rozwinięcie dziesiętne skończone – </w:t>
              <w:br/>
              <w:t xml:space="preserve">   nieskomplikowane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zaokrągla liczby z dokładnością do części dziesiątych i setnych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szacuje wyniki działań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17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prędkość, drogę, czas w zadaniach tekstowych o podwyższonym </w:t>
              <w:br/>
              <w:t xml:space="preserve">    stopniu trudności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17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otwarte i zamknięte z zastosowaniem działań na ułamkach </w:t>
              <w:br/>
              <w:t xml:space="preserve">   zwykłych i dziesiętnych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wyjaśnia, kiedy nie można zamienić ułamka zwykłego na ułamek dziesiętny skończony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sprowadza ułamki do najmniejszego wspólnego mianownika i wykonuje ich dodawanie </w:t>
              <w:br/>
              <w:t xml:space="preserve">   i odejmowanie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49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uzasadnia sposób zaokrąglania liczb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tekstowe o podwyższonym stopniu trudności z zastosowaniem  działań na ułamkach zwykłych i dziesiętnych, w tym na obliczanie ułamka danej liczby </w:t>
              <w:br/>
              <w:t>i liczby na podstawie jej ułamka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4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o podwyższonym stopniu trudności z zastosowaniem   obliczania liczby, która powstaje po powiększeniu lub pomniejszeniu o pewną część innej liczby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46" w:hRule="atLeast"/>
        </w:trPr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dokładną wartość wyrażenia arytmetycznego – ocenia czy należy wykonywać działania na ułamkach zwykłych, czy dziesiętnych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4" w:hRule="atLeast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uzasadnia sposób rozwiązania zadania tekstowego o podwyższonym stopniu trudności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1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więcej niż jednym sposobem zadania tekstowe z zastosowaniem działań </w:t>
              <w:br/>
              <w:t xml:space="preserve">   na ułamkach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1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problemowe z zastosowaniem działań na ułamkach zwykłych </w:t>
              <w:br/>
              <w:t xml:space="preserve">   i dziesiętnych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1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weryfikuje wynik zadania tekstowego, ocenia sensowność rozwiązania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Liczby wymierne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Trebuchet MS" w:cs="Calibri" w:cstheme="minorHAnsi"/>
                <w:bCs/>
                <w:kern w:val="0"/>
                <w:sz w:val="20"/>
                <w:szCs w:val="20"/>
                <w:lang w:val="pl-PL" w:eastAsia="pl-PL" w:bidi="pl-PL"/>
              </w:rPr>
              <w:t>podaje przykłady liczb wymiernych w tym liczb naturalnych i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proste przykłady występowania liczb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czyta liczby całkowite zaznaczone na osi liczbowej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odczytuje liczby wymierne zaznaczone na osi liczbowej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7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przykłady par liczb przeciwnych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znajduje liczbę przeciwną do danej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liczby wymierne, w tym całkowite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ilustruje liczby przeciwne na osi liczbowej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dodaje, odejmuje, mnoży i dzieli liczby całkowite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 prostych przypadkach podaje liczbę odwrotną i przeciwną do danej liczby wymiernej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wartość bezwzględną liczb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zamienia dodatnie i ujemne ułamki zwykłe na ułamki dziesiętne i odwrotnie – </w:t>
              <w:br/>
              <w:t xml:space="preserve">  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94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wykonuje w prostych przypadkach dodawanie, odejmowanie, mnożenie i dzielenie </w:t>
              <w:br/>
              <w:t xml:space="preserve">   liczb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9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rozwiązuje proste zadania tekstowe z zastosowaniem działań na liczbach </w:t>
              <w:br/>
              <w:t xml:space="preserve">   całkowitych oraz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zaznacza liczby całkowite i inne liczby wymierne na osi liczbowej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przykłady zastosowania liczb ujemnych w życiu codziennym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i zapisuje wartość bezwzględną danej liczby całkowitej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liczby wymierne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wykonuje dodawanie, odejmowanie, mnożenie i dzielenie liczb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kolejność działań do obliczania wartości wyrażeń z zastosowaniem działań na liczbach całkowitych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stosuje kolejność działań w obliczaniu wartości prostych wyrażeń arytmetycznych </w:t>
              <w:br/>
              <w:t>z zastosowaniem działań na liczbach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85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iloczyn jednakowych czynników w postaci drugiej i trzeciej potęgi liczby całkowitej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85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drugą i trzecią potęgę liczby całkowitej oraz wymiernej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85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nieskomplikowane równania z zastosowaniem liczb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85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zadania tekstowe z zastosowaniem działań na liczbach całkowitych oraz liczbach ujemnych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wyznacza jednostkę na osi liczbowej, na której zaznaczone są co najmniej dwie liczby całkowite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zaznacza liczby wymierne na osi liczbowej dobierając odpowiednią jednostkę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porównuje wartości bezwzględne liczb całkowitych oraz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zaznacza na osi liczbowej rozwiązanie równania np. |</w:t>
            </w:r>
            <w:r>
              <w:rPr>
                <w:rStyle w:val="Teksttreci26"/>
                <w:rFonts w:eastAsia="Calibri" w:cs="Calibri" w:cstheme="minorHAnsi"/>
                <w:b w:val="false"/>
                <w:i/>
                <w:kern w:val="0"/>
                <w:sz w:val="20"/>
                <w:szCs w:val="20"/>
                <w:lang w:val="pl-PL" w:eastAsia="en-US" w:bidi="ar-SA"/>
              </w:rPr>
              <w:t>a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| = 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porządkuje liczby wymierne rosnąco lub malejąco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kolejność wykonywania działań w wyrażeniach arytmetycznych zawierających liczby całkowite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6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wartości liczbowe wyrażeń arytmetycznych z zastosowaniem działań na liczbach wymiernych, stosując kolejność wykonywania działań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5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wyjaśnia sposób dodawania, odejmowania, mnożenia i dzielenia liczb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5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uwzględniające działania na liczbach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5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równania z zastosowaniem dodawania, odejmowania, mnożenia i dzielenia liczb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5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równania z zastosowaniem działań na liczbach wymiernych i sprawdza poprawność rozwiązania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5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otwarte i zamknięte z zastosowaniem działań na liczbach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94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o podwyższonym stopniu trudności uwzględniające działania na liczbach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wartość liczbową wyrażeń arytmetycznych, także z użyciem nawiasów kwadratowych oraz z zastosowaniem działań na liczbach wymiernych – uzasadnia kolejność wykonywania działań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objaśnia sposób wyszukiwania niewiadomej w równaniu, w którym występują liczby wymierne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o podwyższonym stopniu trudności z zastosowaniem działań na liczbach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4" w:hRule="atLeast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ocenia wykonalność działań w zbiorze liczb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1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uzasadnia wykonalność działań w zbiorze liczb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1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problemowe, w których występują działania na liczbach całkowitych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1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 z zastosowaniem działań na liczbach wymiernych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Pola wielokątów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wyróżnia jednostki pola wśród innych jednostek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pole figury za pomocą kwadratów jednostkowych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zapisuje wzory na obliczanie pola i obwodu kwadratu oraz prostokąta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proste zadania dotyczące obliczania pola, obwodu równoległoboku i trójkąta w sytuacjach typowych, gdy dane są wyrażone liczbami naturalnymi i są </w:t>
              <w:br/>
              <w:t>w jednakowych jednostkach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jednostki pola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stosuje wzory na pole i obwód dowolnego wielokąta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pola poznanych czworokątów i trójkątów, gdy dane są wyrażone liczbami naturalnymi i są w jednakowych jednostkach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wzory na pole i obwód figury oraz oblicza ich wartość liczbową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opisuje słowami wzory na pole i obwód trójkąta oraz czworokąta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nieskomplikowane zadania tekstowe na obliczanie pól czworokątów </w:t>
              <w:br/>
              <w:t>i trójkątów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jednostki pola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pole i obwód figury, gdy dane są wyrażone w różnych jednostkach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pole i obwód figury, gdy podane są zależności np. między długościami boków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wzory na pole i obwód dowolnego trójkąta oraz czworokąta oraz opisuje słowami te wzory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dzieli wielokąt na znane czworokąty i trójkąty, by obliczyć jego pole jako sumę pól </w:t>
              <w:br/>
              <w:t xml:space="preserve">    tych figur lub uzupełnia wielokąt do większego znanego czworokąta, by obliczyć </w:t>
              <w:br/>
              <w:t xml:space="preserve">    jego pole jako różnicę pól otrzymanych trójkątów i czworokątów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praktyczne zadania tekstowe na obliczanie pól wielokątów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złożone zadania dotyczące obliczania pól wielokątów dla danych wymagających zamiany jednostek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długość boku lub wysokość wielokąta przy danym jego polu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pole dowolnego wielokąta dzieląc go na trapezy i trójkąty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`</w:t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 dotyczące obliczania pól i obwodów wielokątów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rozwiązuje wieloma sposobami zadania na obliczanie pól dowolnych wielokątów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Procenty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rozpoznaje i stosuje w prostych przypadkach symbol procentu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ułamki o mianowniku 100 za pomocą procentów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iCs/>
                <w:kern w:val="0"/>
                <w:sz w:val="20"/>
                <w:szCs w:val="20"/>
                <w:lang w:val="pl-PL" w:eastAsia="en-US" w:bidi="ar-SA"/>
              </w:rPr>
              <w:t xml:space="preserve">zamienia ułamki typu: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  <w:r>
              <w:rPr>
                <w:rStyle w:val="Teksttreci26"/>
                <w:rFonts w:eastAsia="Calibri" w:cs="Calibri" w:cstheme="minorHAnsi"/>
                <w:b w:val="false"/>
                <w:iCs/>
                <w:kern w:val="0"/>
                <w:sz w:val="20"/>
                <w:szCs w:val="20"/>
                <w:lang w:val="pl-PL" w:eastAsia="en-US" w:bidi="ar-SA"/>
              </w:rPr>
              <w:t xml:space="preserve">;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4</m:t>
                  </m:r>
                </m:den>
              </m:f>
            </m:oMath>
            <w:r>
              <w:rPr>
                <w:rStyle w:val="Teksttreci26"/>
                <w:rFonts w:eastAsia="Calibri" w:cs="Calibri" w:cstheme="minorHAnsi"/>
                <w:b w:val="false"/>
                <w:iCs/>
                <w:kern w:val="0"/>
                <w:sz w:val="20"/>
                <w:szCs w:val="20"/>
                <w:lang w:val="pl-PL" w:eastAsia="en-US" w:bidi="ar-SA"/>
              </w:rPr>
              <w:t>; 0,2 na procenty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94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100%, 50%, 25%, 10% na ułamki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9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wskazuje, jaki procent figury zamalowano – najprostsze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9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procent danej liczby korzystając z rysunku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9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odczytuje dane z diagramów procentowych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z zastosowaniem obliczeń procentowych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procenty na ułamki zwykłe i dziesiętne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ułamki zwykłe i dziesiętne na procenty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zaznacza 50%, 25%, 10%, 75% figury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procent danej liczby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procent danej liczby w sytuacjach praktycznych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liczbę na podstawie jej procentu korzystając z ilustracji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94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odczytuje dane z diagramów prostokątnych, słupkowych, kołowych, w tym także </w:t>
              <w:br/>
              <w:t xml:space="preserve">   z diagramów procentowych – podstawowy stopień trudności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9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zadania z zastosowaniem danych odczytanych z diagramów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9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wykonuje rysunki pomocnicze do zadań z procentami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9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proste diagramy ilustrujące dane zawarte w tekście lub tabeli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rozwiązuje proste zadania tekstowe zamknięte i otwarte z zastosowaniem </w:t>
              <w:br/>
              <w:t xml:space="preserve">   obliczeń procentowych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zaznacza na rysunku figury wskazany procent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objaśnia sposób zamiany procentu na ułamek i odwrotnie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objaśnia sposób obliczenia procentu danej liczby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praktyczne dotyczące obliczania procentu danej liczby i liczby na podstawie jej procentu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62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oblicza, o ile punktów procentowych nastąpił wzrost lub spadek, porównując wielkości wyrażone w procentach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6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nieskomplikowane zadania na obliczanie, jakim procentem jednej liczby jest druga liczba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6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gromadzi i porządkuje dane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6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odczytuje i interpretuje dane przedstawione w tekstach, tabelach i na diagramach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6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diagramy procentowe ilustrujące dane zawarte w tekście lub tabeli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61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diagramy podwójne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z zastosowaniem danych przedstawionych na diagramach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uzasadnia sposób rysowania wskazanego diagramu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o podwyższonym stopniu trudności z zastosowaniem obliczeń procentowych i dostrzega zależności między podanymi informacjami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rozpoznaje w zadaniu i wyjaśnia jaki rodzaj obliczenia procentowego w nim występuje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tekstowe z zastosowaniem obliczania liczby, która powstaje po powiększeniu lub pomniejszeniu o procent innej liczby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12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układa pytania i zadania do różnych diagramów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122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liczbę na podstawie jej procentu i stosuje to obliczenie w sytuacjach praktycznych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wykonuje rysunki ilustrujące treść zadania dotyczącego obliczania procentu danej liczby oraz liczby na podstawie jej procentu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 z zastosowaniem różnych obliczeń procentowych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układa pytania do ankiety, interpretuje wyniki ankiety i ilustruje je na różnych diagramach, w tym na diagramach procentowych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1696" w:type="dxa"/>
            <w:gridSpan w:val="5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Stopień</w:t>
            </w:r>
          </w:p>
        </w:tc>
        <w:tc>
          <w:tcPr>
            <w:tcW w:w="7512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Dział programowy: Figury przestrzenne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276" w:type="dxa"/>
            <w:vMerge w:val="restart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Kategoria celu</w:t>
            </w:r>
          </w:p>
        </w:tc>
      </w:tr>
      <w:tr>
        <w:trPr/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  <w:tc>
          <w:tcPr>
            <w:tcW w:w="340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39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38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41" w:type="dxa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7512" w:type="dxa"/>
            <w:vMerge w:val="continue"/>
            <w:tcBorders/>
            <w:shd w:color="auto" w:fill="0070C0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76" w:type="dxa"/>
            <w:vMerge w:val="continue"/>
            <w:tcBorders/>
            <w:shd w:color="auto" w:fill="0070C0" w:val="clear"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restart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graniastosłupy, ostrosłupy i bryły obrotowe wśród innych brył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wskazuje na modelu graniastosłupa i ostrosłupa wierzchołki, krawędzie, ściany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75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tworzy siatki graniastosłupów i ostrosłupów przez rozcinanie modelu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7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wyróżnia prostopadłościany wśród graniastosłupów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7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wyróżnia jednostki pola i objętości wśród innych jednostek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7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podaje nazwę bryły obrotowej na podstawie jej modelu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7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1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pole powierzchni i objętość prostopadłościanu, gdy ma jego siatkę bryły </w:t>
              <w:br/>
              <w:t>z danymi wyrażonymi w jednakowych jednostkach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siatki graniastosłupów i ostrosłupów oraz wskazuje ich podstawy, ściany, krawędzie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rozróżnia i nazywa graniastosłupy, ostrosłupy oraz bryły obrotowe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 podstawie modeli opisuje graniastosłupy i wymienia ich własności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 podstawie modeli opisuje bryły obrotowe i wymienia ich podstawowe własności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jednostki pola i objętości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9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oblicza pole powierzchni i objętość prostopadłościanu, gdy dane są wyrażone </w:t>
              <w:br/>
              <w:t>w jednakowych jednostkach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wzór na pole powierzchni i objętość prostopadłościanu – proste przypadki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4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rozpoznaje w otoczeniu przedmioty, które mają kształt graniastosłupów, ostrosłupów lub brył obrotowych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46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3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679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ind w:left="183" w:hanging="183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proste zadania dotyczące własności graniastosłupa, ostrosłupa lub bryły obrotowej z wykorzystaniem odpowiedniego modelu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klasyfikuje figury przestrzenne na graniastosłupy, ostrosłupy i bryły obrotowe </w:t>
              <w:br/>
              <w:t xml:space="preserve">   oraz podaje ich nazwy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wybiera spośród brył prostopadłościany i sześciany oraz uzasadnia swój wybór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7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podaje nazwę graniastosłupa lub ostrosłupa na podstawie liczby jego </w:t>
              <w:br/>
              <w:t xml:space="preserve">   wierzchołków, krawędzi, ścian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rozpoznaje graniastosłupy, ostrosłupy i bryły obrotowe na podstawie ich własności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siatki graniastosłupów i ostrosłupów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rozpoznaje bryły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na podstawie ich siatek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B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przedstawia na rysunkach pomocniczych graniastosłupy i ostrosłupy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rysuje siatki graniastosłupów i ostrosłupów w skali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zamienia jednostki pola i objętości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20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zapisuje wzór na pole powierzchni prostopadłościanu i oblicza jego wartość liczbową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94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z zastosowaniem własności graniastosłupów, ostrosłupów </w:t>
              <w:br/>
              <w:t xml:space="preserve">   i brył obrotowych, wykonuje rysunki pomocnicze do zadań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93" w:hRule="atLeast"/>
        </w:trPr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34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8" w:type="dxa"/>
            <w:gridSpan w:val="3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wyznacza, w prostych przypadkach, długości szukanych krawędzi, gdy ma dane </w:t>
              <w:br/>
              <w:t xml:space="preserve">   inne krawędzie i pole powierzchni lub objętość prostopadłościanu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wyjaśnia sposób tworzenia brył obrotowych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pola powierzchni graniastosłupów prostych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zapisuje wzory na pole powierzchni graniastosłupów prostych </w:t>
              <w:br/>
              <w:t xml:space="preserve">   i objętość prostopadłościanu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rozwiązuje zadania o podwyższonym stopniu trudności na obliczanie </w:t>
              <w:br/>
              <w:t xml:space="preserve">   pól powierzchni graniastosłupów prostych i objętości prostopadłościanu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w zadaniach tekstowych o podwyższonym stopniu trudności oblicza </w:t>
              <w:br/>
              <w:t xml:space="preserve">   długość krawędzi podstawy lub wysokość, gdy ma daną inną krawędź </w:t>
              <w:br/>
              <w:t xml:space="preserve">   oraz pole powierzchni lub objętość prostopadłościanu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/>
        <w:tc>
          <w:tcPr>
            <w:tcW w:w="338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58" w:type="dxa"/>
            <w:gridSpan w:val="4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projektuje siatki graniastosłupów i ostrosłupów o podanych własnościach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</w:t>
            </w:r>
          </w:p>
        </w:tc>
      </w:tr>
      <w:tr>
        <w:trPr>
          <w:trHeight w:val="123" w:hRule="atLeast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 xml:space="preserve">wyjaśnia sposób tworzenia wzoru na pole powierzchni graniastosłupa </w:t>
              <w:br/>
              <w:t xml:space="preserve">   i objętość prostopadłościanu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122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rozwiązuje zadania problemowe dotyczące własności figur przestrzennych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  <w:tr>
        <w:trPr>
          <w:trHeight w:val="122" w:hRule="atLeast"/>
        </w:trPr>
        <w:tc>
          <w:tcPr>
            <w:tcW w:w="1696" w:type="dxa"/>
            <w:gridSpan w:val="5"/>
            <w:vMerge w:val="continue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512" w:type="dxa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• </w:t>
            </w:r>
            <w:r>
              <w:rPr>
                <w:rStyle w:val="Teksttreci26"/>
                <w:rFonts w:eastAsia="Calibri" w:cs="Calibri" w:cstheme="minorHAnsi"/>
                <w:b w:val="false"/>
                <w:kern w:val="0"/>
                <w:sz w:val="20"/>
                <w:szCs w:val="20"/>
                <w:lang w:val="pl-PL" w:eastAsia="en-US" w:bidi="ar-SA"/>
              </w:rPr>
              <w:t>oblicza pole powierzchni lub objętość dowolnego graniastosłupa prostego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</w:t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849" w:gutter="0" w:header="0" w:top="198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before="120" w:after="0"/>
      <w:ind w:hanging="0"/>
      <w:rPr>
        <w:b/>
        <w:b/>
        <w:color w:val="003892"/>
      </w:rPr>
    </w:pPr>
    <w:r>
      <w:rPr/>
      <mc:AlternateContent>
        <mc:Choice Requires="wps">
          <w:drawing>
            <wp:anchor behindDoc="1" distT="0" distB="19050" distL="0" distR="17780" simplePos="0" locked="0" layoutInCell="0" allowOverlap="1" relativeHeight="15" wp14:anchorId="25A4E966">
              <wp:simplePos x="0" y="0"/>
              <wp:positionH relativeFrom="column">
                <wp:posOffset>-385445</wp:posOffset>
              </wp:positionH>
              <wp:positionV relativeFrom="paragraph">
                <wp:posOffset>-2540</wp:posOffset>
              </wp:positionV>
              <wp:extent cx="6535420" cy="635"/>
              <wp:effectExtent l="10160" t="9525" r="10160" b="9525"/>
              <wp:wrapNone/>
              <wp:docPr id="1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544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35pt,-0.2pt" to="484.2pt,-0.2pt" ID="Łącznik prostoliniowy 3" stroked="t" o:allowincell="f" style="position:absolute" wp14:anchorId="25A4E966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ind w:left="-567" w:right="1" w:hanging="0"/>
      <w:rPr/>
    </w:pPr>
    <w:r>
      <w:rPr/>
    </w:r>
  </w:p>
  <w:p>
    <w:pPr>
      <w:pStyle w:val="Stopka"/>
      <w:ind w:left="-624" w:hanging="0"/>
      <w:jc w:val="right"/>
      <w:rPr>
        <w:lang w:eastAsia="pl-PL"/>
      </w:rPr>
    </w:pPr>
    <w:r>
      <w:rPr/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-283" w:hanging="0"/>
      <w:rPr>
        <w:i/>
        <w:i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c6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85d6f"/>
    <w:rPr/>
  </w:style>
  <w:style w:type="character" w:styleId="StopkaZnak" w:customStyle="1">
    <w:name w:val="Stopka Znak"/>
    <w:basedOn w:val="DefaultParagraphFont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c75c6f"/>
    <w:rPr>
      <w:b/>
      <w:bCs/>
    </w:rPr>
  </w:style>
  <w:style w:type="character" w:styleId="CondensedItalic" w:customStyle="1">
    <w:name w:val="Condensed Italic"/>
    <w:uiPriority w:val="99"/>
    <w:qFormat/>
    <w:rsid w:val="00c75c6f"/>
    <w:rPr>
      <w:i/>
      <w:iCs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75c6f"/>
    <w:rPr>
      <w:sz w:val="20"/>
      <w:szCs w:val="20"/>
    </w:rPr>
  </w:style>
  <w:style w:type="character" w:styleId="TekstkomentarzaZnak1" w:customStyle="1">
    <w:name w:val="Tekst komentarza Znak1"/>
    <w:basedOn w:val="DefaultParagraphFont"/>
    <w:uiPriority w:val="99"/>
    <w:semiHidden/>
    <w:qFormat/>
    <w:rsid w:val="00c75c6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75c6f"/>
    <w:rPr>
      <w:b/>
      <w:bCs/>
      <w:sz w:val="20"/>
      <w:szCs w:val="20"/>
    </w:rPr>
  </w:style>
  <w:style w:type="character" w:styleId="TematkomentarzaZnak1" w:customStyle="1">
    <w:name w:val="Temat komentarza Znak1"/>
    <w:basedOn w:val="TekstkomentarzaZnak1"/>
    <w:uiPriority w:val="99"/>
    <w:semiHidden/>
    <w:qFormat/>
    <w:rsid w:val="00c75c6f"/>
    <w:rPr>
      <w:b/>
      <w:bCs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7213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a72130"/>
    <w:rPr>
      <w:color w:val="808080"/>
    </w:rPr>
  </w:style>
  <w:style w:type="character" w:styleId="Teksttreci265ptBezpogrubienia" w:customStyle="1">
    <w:name w:val="Tekst treści (2) + 6;5 pt;Bez pogrubienia"/>
    <w:basedOn w:val="DefaultParagraphFont"/>
    <w:qFormat/>
    <w:rsid w:val="00a72130"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pl-PL" w:eastAsia="pl-PL" w:bidi="pl-PL"/>
    </w:rPr>
  </w:style>
  <w:style w:type="character" w:styleId="Teksttreci27ptBezpogrubieniaKursywa" w:customStyle="1">
    <w:name w:val="Tekst treści (2) + 7 pt;Bez pogrubienia;Kursywa"/>
    <w:basedOn w:val="DefaultParagraphFont"/>
    <w:qFormat/>
    <w:rsid w:val="00a72130"/>
    <w:rPr>
      <w:rFonts w:ascii="Trebuchet MS" w:hAnsi="Trebuchet MS" w:eastAsia="Trebuchet MS" w:cs="Trebuchet MS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styleId="Teksttreci26" w:customStyle="1">
    <w:name w:val="Tekst treści (2) + 6"/>
    <w:basedOn w:val="DefaultParagraphFont"/>
    <w:qFormat/>
    <w:rsid w:val="00a72130"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effect w:val="non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72130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a72130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agwek1" w:customStyle="1">
    <w:name w:val="Nagłówek #1_"/>
    <w:basedOn w:val="DefaultParagraphFont"/>
    <w:qFormat/>
    <w:rsid w:val="00a72130"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sz w:val="42"/>
      <w:szCs w:val="42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160"/>
      <w:ind w:left="720" w:hanging="0"/>
      <w:contextualSpacing/>
    </w:pPr>
    <w:rPr/>
  </w:style>
  <w:style w:type="paragraph" w:styleId="Brakstyluakapitowego" w:customStyle="1">
    <w:name w:val="[Brak stylu akapitowego]"/>
    <w:qFormat/>
    <w:rsid w:val="00c75c6f"/>
    <w:pPr>
      <w:widowControl/>
      <w:bidi w:val="0"/>
      <w:spacing w:lineRule="auto" w:line="288" w:before="0" w:after="0"/>
      <w:jc w:val="left"/>
      <w:textAlignment w:val="center"/>
    </w:pPr>
    <w:rPr>
      <w:rFonts w:ascii="Minion Pro" w:hAnsi="Minion Pro" w:cs="Minion Pro" w:eastAsia="Calibri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c75c6f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c75c6f"/>
    <w:pPr>
      <w:tabs>
        <w:tab w:val="clear" w:pos="708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c75c6f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c75c6f"/>
    <w:pPr>
      <w:suppressAutoHyphens w:val="true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75c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5c6f"/>
    <w:pPr/>
    <w:rPr>
      <w:b/>
      <w:bCs/>
    </w:rPr>
  </w:style>
  <w:style w:type="paragraph" w:styleId="NoSpacing">
    <w:name w:val="No Spacing"/>
    <w:uiPriority w:val="1"/>
    <w:qFormat/>
    <w:rsid w:val="00c75c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7213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F6E6-DF8D-485B-95D3-76757623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Application>LibreOffice/7.4.4.2$Windows_X86_64 LibreOffice_project/85569322deea74ec9134968a29af2df5663baa21</Application>
  <AppVersion>15.0000</AppVersion>
  <Pages>14</Pages>
  <Words>3922</Words>
  <Characters>22782</Characters>
  <CharactersWithSpaces>26288</CharactersWithSpaces>
  <Paragraphs>718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2014-06-02T14:59:00Z</dcterms:created>
  <dc:creator>Marta Jedlinska</dc:creator>
  <dc:description/>
  <dc:language>pl-PL</dc:language>
  <cp:lastModifiedBy/>
  <dcterms:modified xsi:type="dcterms:W3CDTF">2024-10-08T17:55:19Z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