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EF3E35" w:rsidRPr="004116C4" w:rsidTr="00514423">
        <w:trPr>
          <w:trHeight w:val="1127"/>
        </w:trPr>
        <w:tc>
          <w:tcPr>
            <w:tcW w:w="7763" w:type="dxa"/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5637CF">
              <w:rPr>
                <w:rFonts w:ascii="Arial" w:hAnsi="Arial" w:cs="Arial"/>
                <w:b/>
                <w:sz w:val="36"/>
                <w:szCs w:val="36"/>
              </w:rPr>
              <w:t>Plus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90FC7">
              <w:rPr>
                <w:rFonts w:ascii="Arial" w:hAnsi="Arial" w:cs="Arial"/>
                <w:b/>
                <w:sz w:val="36"/>
                <w:szCs w:val="36"/>
              </w:rPr>
              <w:t>dla klasy V</w:t>
            </w:r>
          </w:p>
          <w:p w:rsidR="00EF3E35" w:rsidRPr="005B6524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EF3E35" w:rsidRPr="004116C4" w:rsidRDefault="00EF3E35" w:rsidP="0051442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90FC7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E35" w:rsidRPr="00890FC7" w:rsidRDefault="00EF3E35" w:rsidP="008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7F3B1B" w:rsidRDefault="00EF3E35" w:rsidP="0051442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pytaniem o drogę i wskazywaniem drogi, często wzorując się na modelu rozmowy i korzystając z pomocy nauczyciela, popełniając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r w:rsidRPr="00852D86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 w:rsidRPr="00852D86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simple,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 w:rsidRPr="00852D86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simple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r w:rsidRPr="00852D86">
              <w:rPr>
                <w:rFonts w:ascii="Arial" w:hAnsi="Arial" w:cs="Arial"/>
                <w:i/>
                <w:sz w:val="16"/>
                <w:szCs w:val="16"/>
              </w:rPr>
              <w:t>There is/There are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simple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 i popełniając niewielkie błędy językowe,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stosując częściowo odpowiednie formy grzecznościowe,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nie stosując właściwych form grzecznościowych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E074CE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0E" w:rsidRDefault="008D550E" w:rsidP="00A63005">
      <w:pPr>
        <w:spacing w:after="0" w:line="240" w:lineRule="auto"/>
      </w:pPr>
      <w:r>
        <w:separator/>
      </w:r>
    </w:p>
  </w:endnote>
  <w:endnote w:type="continuationSeparator" w:id="0">
    <w:p w:rsidR="008D550E" w:rsidRDefault="008D550E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91700" w:rsidRPr="004116C4" w:rsidTr="00E074CE">
      <w:tc>
        <w:tcPr>
          <w:tcW w:w="5056" w:type="dxa"/>
          <w:shd w:val="clear" w:color="auto" w:fill="D9D9D9"/>
        </w:tcPr>
        <w:p w:rsidR="00591700" w:rsidRPr="002F2849" w:rsidRDefault="00EF3E35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Steps </w:t>
          </w:r>
          <w:r w:rsidR="00D9024A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</w:t>
          </w:r>
          <w:r w:rsidR="00890FC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dla klasy 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plan wynikowy</w:t>
          </w:r>
        </w:p>
      </w:tc>
      <w:tc>
        <w:tcPr>
          <w:tcW w:w="5056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916423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91700" w:rsidRDefault="008D550E" w:rsidP="00E0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0E" w:rsidRDefault="008D550E" w:rsidP="00A63005">
      <w:pPr>
        <w:spacing w:after="0" w:line="240" w:lineRule="auto"/>
      </w:pPr>
      <w:r>
        <w:separator/>
      </w:r>
    </w:p>
  </w:footnote>
  <w:footnote w:type="continuationSeparator" w:id="0">
    <w:p w:rsidR="008D550E" w:rsidRDefault="008D550E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39577F"/>
    <w:rsid w:val="003F0CB6"/>
    <w:rsid w:val="0051516C"/>
    <w:rsid w:val="005637CF"/>
    <w:rsid w:val="0075557A"/>
    <w:rsid w:val="00761B66"/>
    <w:rsid w:val="00890FC7"/>
    <w:rsid w:val="008D550E"/>
    <w:rsid w:val="00916423"/>
    <w:rsid w:val="00A63005"/>
    <w:rsid w:val="00AF3057"/>
    <w:rsid w:val="00BE319C"/>
    <w:rsid w:val="00C6519A"/>
    <w:rsid w:val="00D9024A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F15CC-9D8D-4D31-B1A6-2B270F2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7333</Words>
  <Characters>44002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2022-11-06T18:36:00Z</dcterms:created>
  <dcterms:modified xsi:type="dcterms:W3CDTF">2022-11-06T18:36:00Z</dcterms:modified>
</cp:coreProperties>
</file>