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b/>
          <w:bCs/>
          <w:color w:val="2D2D2D"/>
          <w:sz w:val="36"/>
          <w:szCs w:val="36"/>
          <w:lang w:eastAsia="pl-PL"/>
        </w:rPr>
        <w:t>Rekrutacja kadry medycznej do szpitala tymczasowego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Wojewoda Lubelski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br/>
        <w:t>poszukuje kadry medycznej gotowej do podjęcia pracy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br/>
        <w:t>w organizowanym szpitalu tymczasowym dla pacjentów chorych na covid-19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br/>
        <w:t>z terenu województwa lubelskiego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W związku z eskalacją epidemii choroby wywołanej wirusem SARS–CoV–2, zaistniała konieczność podjęcia na terenie całego kraju działań na niespotykaną dotąd skalę i przyjęcia niestandardowych rozwiązań. Jednym z nich jest tworzenie szpitali tymczasowych. Obecnie w wielu placówkach opieki zdrowotnej występują niedobory łóżek oraz kadry medycznej. Rosnąca liczba chorych w powiązaniu z czasowym wyłączeniem z pracy personelu medycznego, spowodowanym chorobami, izolacją lub kwarantanną, pomimo wielkiego wysiłku i poświęcenia czynnych pracowników oraz społecznej solidarności, prowadzi do trudnej sytuacji w zakresie opieki nad pacjentami.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Wychodząc naprzeciw konieczności zabezpieczenia potrzeb zdrowotnych mieszkańców województwa lubelskiego oraz realizując misję wyznaczoną przez Rząd RP,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Wojewoda Lubelski PILNIE poszukuje osób gotowych do podjęcia pracy w organizowanym w Lublinie szpitalu tymczasowym dla pacjentów chorych na covid-19, przede wszystkim z wykształceniem medycznym i doświadczeniem zawodowym w podmiotach leczniczych systemu ochrony zdrowia</w:t>
      </w:r>
      <w:r w:rsidRPr="00BF0DCC">
        <w:rPr>
          <w:rFonts w:ascii="Calibri" w:eastAsia="Times New Roman" w:hAnsi="Calibri" w:cs="Calibri"/>
          <w:color w:val="2D2D2D"/>
          <w:lang w:eastAsia="pl-PL"/>
        </w:rPr>
        <w:t>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W szczególności poszukuje się następujących lekarzy specjalistów lub lekarzy kończących szkolenie specjalistyczne w zakresie:</w:t>
      </w: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anestezjologii i intensywnej terapii,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chorób wewnętrznych ze szczególnym uwzględnieniem pneumonologii,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medycyny ratunkowej,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wszystkich dziedzin chirurgicznych – szczególnie pożądani są lekarze chirurdzy posiadający podstawowe umiejętności obsługi respiratora,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neonatologii posiadający umiejętności obsługi respiratora,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neurologii,</w:t>
      </w:r>
    </w:p>
    <w:p w:rsidR="00BF0DCC" w:rsidRPr="00BF0DCC" w:rsidRDefault="00BF0DCC" w:rsidP="00BF0DCC">
      <w:pPr>
        <w:numPr>
          <w:ilvl w:val="0"/>
          <w:numId w:val="1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medycyny rodzinnej.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Ponadto poszukuje się personelu pielęgniarskiego celem udzielania świadczeń zdrowotnych z zakresu:</w:t>
      </w:r>
    </w:p>
    <w:p w:rsidR="00BF0DCC" w:rsidRPr="00BF0DCC" w:rsidRDefault="00BF0DCC" w:rsidP="00BF0DCC">
      <w:pPr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anestezjologii i intensywnej opieki medycznej,</w:t>
      </w:r>
    </w:p>
    <w:p w:rsidR="00BF0DCC" w:rsidRPr="00BF0DCC" w:rsidRDefault="00BF0DCC" w:rsidP="00BF0DCC">
      <w:pPr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chorób wewnętrznych ze szczególnym uwzględnieniem pneumonologii,</w:t>
      </w:r>
    </w:p>
    <w:p w:rsidR="00BF0DCC" w:rsidRPr="00BF0DCC" w:rsidRDefault="00BF0DCC" w:rsidP="00BF0DCC">
      <w:pPr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chirurgii,</w:t>
      </w:r>
    </w:p>
    <w:p w:rsidR="00BF0DCC" w:rsidRPr="00BF0DCC" w:rsidRDefault="00BF0DCC" w:rsidP="00BF0DCC">
      <w:pPr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neurologii,</w:t>
      </w:r>
    </w:p>
    <w:p w:rsidR="00BF0DCC" w:rsidRPr="00BF0DCC" w:rsidRDefault="00BF0DCC" w:rsidP="00BF0DCC">
      <w:pPr>
        <w:numPr>
          <w:ilvl w:val="0"/>
          <w:numId w:val="2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medycyny ratunkowej.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>
        <w:rPr>
          <w:rFonts w:ascii="Calibri" w:eastAsia="Times New Roman" w:hAnsi="Calibri" w:cs="Calibri"/>
          <w:noProof/>
          <w:color w:val="2D2D2D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508635</wp:posOffset>
            </wp:positionV>
            <wp:extent cx="5737225" cy="784860"/>
            <wp:effectExtent l="19050" t="0" r="0" b="0"/>
            <wp:wrapTight wrapText="bothSides">
              <wp:wrapPolygon edited="0">
                <wp:start x="-72" y="0"/>
                <wp:lineTo x="-72" y="20971"/>
                <wp:lineTo x="21588" y="20971"/>
                <wp:lineTo x="21588" y="0"/>
                <wp:lineTo x="-72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781" t="39261" r="25576" b="4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DCC">
        <w:rPr>
          <w:rFonts w:ascii="Calibri" w:eastAsia="Times New Roman" w:hAnsi="Calibri" w:cs="Calibri"/>
          <w:color w:val="2D2D2D"/>
          <w:lang w:eastAsia="pl-PL"/>
        </w:rPr>
        <w:t> Zakres obowiązków związanych z pracą w szpitalu tymczasowym będzie określany w zależności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od specjalizacji oraz zakresu umiejętności deklarowanej po przyjęciu do pracy.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NAJWAŻNIEJSZE INFORMACJE DOTYCZĄCE SKIEROWANIA DO PRACY W SZPITALU TYMCZASOWYM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1.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Kto i na jakiej podstawie prawnej kieruje osoby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Podstawą do skierowania do pracy przy zwalczaniu epidemii jest art. 47 ustawy z dnia 5 grudnia 2008 r. o zapobieganiu oraz zwalczaniu zakażeń i chorób zakaźnych u ludzi (</w:t>
      </w:r>
      <w:proofErr w:type="spellStart"/>
      <w:r w:rsidRPr="00BF0DCC">
        <w:rPr>
          <w:rFonts w:ascii="Calibri" w:eastAsia="Times New Roman" w:hAnsi="Calibri" w:cs="Calibri"/>
          <w:color w:val="2D2D2D"/>
          <w:lang w:eastAsia="pl-PL"/>
        </w:rPr>
        <w:t>Dz.U</w:t>
      </w:r>
      <w:proofErr w:type="spellEnd"/>
      <w:r w:rsidRPr="00BF0DCC">
        <w:rPr>
          <w:rFonts w:ascii="Calibri" w:eastAsia="Times New Roman" w:hAnsi="Calibri" w:cs="Calibri"/>
          <w:color w:val="2D2D2D"/>
          <w:lang w:eastAsia="pl-PL"/>
        </w:rPr>
        <w:t xml:space="preserve">. z 2020 r. poz. 1845 </w:t>
      </w:r>
      <w:proofErr w:type="spellStart"/>
      <w:r w:rsidRPr="00BF0DCC">
        <w:rPr>
          <w:rFonts w:ascii="Calibri" w:eastAsia="Times New Roman" w:hAnsi="Calibri" w:cs="Calibri"/>
          <w:color w:val="2D2D2D"/>
          <w:lang w:eastAsia="pl-PL"/>
        </w:rPr>
        <w:t>t.j</w:t>
      </w:r>
      <w:proofErr w:type="spellEnd"/>
      <w:r w:rsidRPr="00BF0DCC">
        <w:rPr>
          <w:rFonts w:ascii="Calibri" w:eastAsia="Times New Roman" w:hAnsi="Calibri" w:cs="Calibri"/>
          <w:color w:val="2D2D2D"/>
          <w:lang w:eastAsia="pl-PL"/>
        </w:rPr>
        <w:t>.).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Decyzję o skierowaniu do pracy przy zwalczaniu epidemii na terenie województwa, w którym osoba skierowana posiada miejsce pobytu lub jest zatrudniona, wydaje właściwy Wojewoda, a w razie skierowania do pracy na obszarze innego województwa - minister właściwy do spraw zdrowia.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lastRenderedPageBreak/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2. Kogo można skierować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Do pracy przy zwalczaniu epidemii mogą zostać skierowani pracownicy podmiotów leczniczych, osoby wykonujące zawody medyczne oraz osoby, z którymi podpisano umowy na wykonywanie świadczeń zdrowotnych, a także inne osoby, jeżeli ich skierowanie jest uzasadnione aktualnymi potrzebami podmiotów kierujących zwalczaniem epidemii.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3. Kto nie podlega skierowaniu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Skierowaniu do pracy niosącej ryzyko zakażenia przy zwalczaniu epidemii nie podlegają: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osoby, które nie ukończyły 18 lat bądź ukończyły 60 lat;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kobiety w ciąży;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 samotnie wychowujące dziecko w wieku do 18 lat;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 wychowujące dziecko w wieku do 14 lat;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 wychowujące dziecko z orzeczeniem o niepełnosprawności lub orzeczeniem o potrzebie kształcenia specjalnego;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osoby, u których orzeczono częściową lub całkowitą niezdolność do pracy;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inwalidzi i osoby z orzeczonymi chorobami przewlekłymi, na których przebieg ma wpływ zakażenie lub zachorowanie na chorobę zakaźną będącą przyczyną epidemii lub orzeczona choroba przewlekła ma wpływ na przebieg lub zachorowanie na chorobę zakaźną;</w:t>
      </w:r>
    </w:p>
    <w:p w:rsidR="00BF0DCC" w:rsidRPr="00BF0DCC" w:rsidRDefault="00BF0DCC" w:rsidP="00BF0DCC">
      <w:pPr>
        <w:numPr>
          <w:ilvl w:val="0"/>
          <w:numId w:val="3"/>
        </w:num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osoby, o których mowa w art. 2 ustawy z dnia 31 lipca 1981 r. o wynagrodzeniu osób zajmujących kierownicze stanowiska państwowe (Dz. U. z 2019 r. poz. 152), oraz posłowie i senatorowie Rzeczypospolitej Polskiej.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Ponadto w przypadku, gdy dziecko w wieku powyżej 14 lat jest wychowywane przez dwoje osób, którym przysługuje władza rodzicielska, do pracy przy zwalczaniu epidemii może zostać skierowana wyłącznie jedna z nich.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4.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Czy osobie skierowanej do pracy przysługuje wynagrodzenie za pracę w podmiocie, do którego została skierowana i w jakiej wysokości?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Aktualnie osobie skierowanej do pracy przy zwalczaniu epidemii przysługuje wynagrodzenie zasadnicze w wysokości nie niższej niż 150 proc. przeciętnego wynagrodzenia zasadniczego przewidzianego na danym stanowisku pracy w zakładzie wskazanym w tej decyzji lub w innym podobnym zakładzie, jeżeli w zakładzie wskazanym nie ma takiego stanowiska.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W związku z przyjęciem w dniu 22 października 2020 r. przez Sejm RP nowelizacji ustawy o zmianie niektórych ustaw w związku z przeciwdziałaniem sytuacjom kryzysowym związanym z wystąpieniem COVID-19 (ustawa jest nadal procedowana), planowane jest podwyższenie pensji personelu medycznego skierowanego przez Wojewodę do 200 proc. z dotychczasowego 150 proc. przeciętnego wynagrodzenia zasadniczego przewidzianego na danym stanowisku pracy.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Wynagrodzenie nie może być niższe niż wynagrodzenie, które osoba skierowana do pracy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przy zwalczaniu epidemii otrzymała w miesiącu poprzedzającym miesiąc, w którym wydana została decyzja o skierowaniu jej do pracy przy zwalczaniu epidemii.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5. Na jakiej podstawie osoba skierowana wykonuje pracę w podmiocie, do którego została skierowana?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Podmiot leczniczy lub jednostka organizacyjna, wskazana w decyzji o skierowaniu do pracy, nawiązują z osobą skierowaną do pracy stosunek pracy na czas wykonywania określonej pracy, na okres nie dłuższy niż wskazany w decyzji.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6. Jakie inne, poza wynagrodzenie za pracę, świadczenia przysługują osobie skierowanej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Osobie skierowanej do pracy przy zwalczaniu epidemii przysługuje zwrot kosztów przejazdu, zakwaterowania i wyżywienia, na zasadach określonych w przepisach o ustalaniu oraz wysokości należności przysługującej pracownikom państwowych jednostek z tytułu podróży służbowych na obszarze kraju. Zwrot kosztów z tytułu zakwaterowania lub wyżywienia nie przysługuje w przypadku zapewnienia w miejscu wykonywania pracy bezpłatnego zakwaterowania lub wyżywienia.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7. Czy osobie skierowanej do pracy przysługuje urlop u dotychczasowego pracodawcy?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 xml:space="preserve"> Tak, osobie skierowanej do pracy przy zwalczaniu epidemii dotychczasowy pracodawca jest obowiązany udzielić urlopu bezpłatnego na czas określony w decyzji o skierowaniu do pracy. Okres </w:t>
      </w:r>
      <w:r w:rsidRPr="00BF0DCC">
        <w:rPr>
          <w:rFonts w:ascii="Calibri" w:eastAsia="Times New Roman" w:hAnsi="Calibri" w:cs="Calibri"/>
          <w:color w:val="2D2D2D"/>
          <w:lang w:eastAsia="pl-PL"/>
        </w:rPr>
        <w:lastRenderedPageBreak/>
        <w:t>urlopu bezpłatnego zalicza się do okresu pracy, od którego zależą uprawnienia pracownicze u tego pracodawcy.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8. Czy osoba, która nie podlega skierowaniu do pracy, może zostać skierowana na własną prośbę?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Tak, osoba, która znajduje się w kategorii osób, które nie podlegają kierowaniu do pracy (</w:t>
      </w:r>
      <w:proofErr w:type="spellStart"/>
      <w:r w:rsidRPr="00BF0DCC">
        <w:rPr>
          <w:rFonts w:ascii="Calibri" w:eastAsia="Times New Roman" w:hAnsi="Calibri" w:cs="Calibri"/>
          <w:color w:val="2D2D2D"/>
          <w:lang w:eastAsia="pl-PL"/>
        </w:rPr>
        <w:t>pkt</w:t>
      </w:r>
      <w:proofErr w:type="spellEnd"/>
      <w:r w:rsidRPr="00BF0DCC">
        <w:rPr>
          <w:rFonts w:ascii="Calibri" w:eastAsia="Times New Roman" w:hAnsi="Calibri" w:cs="Calibri"/>
          <w:color w:val="2D2D2D"/>
          <w:lang w:eastAsia="pl-PL"/>
        </w:rPr>
        <w:t xml:space="preserve"> 3), może zgłosić się dobrowolnie do pracy na podstawie skierowania. Taka osoba zostanie skierowana do pracy jeżeli podpisze oświadczenie, w którym wyrazi zgodę na skierowanie do pracy.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9. Na jaki okres czasu Wojewoda może skierować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Decyzja o skierowaniu do pracy przy zwalczaniu epidemii stwarza obowiązek pracy przez okres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do 3 miesięcy w podmiocie leczniczym lub w innej jednostce organizacyjnej wskazanych w decyzji.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10. Czy można odwołać się od decyzji Wojewody o skierowaniu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Skierowanie do pracy przy zwalczaniu epidemii następuje w drodze decyzji. Od decyzji Wojewody przysługuje odwołanie do ministra właściwego do spraw zdrowia. Wniesienie środka odwoławczego nie wstrzymuje wykonania decyzji, co oznacza, że pomimo wniesienia odwołania należy stawić się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do pracy w miejscu i czasie wskazanym w decyzji.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11. Czy osoba kierowana do pracy musi dostać decyzję na piśmie?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Decyzje o skierowaniu do pracy mogą być przekazywane w każdy możliwy sposób zapewniający dotarcie decyzji do adresata, w tym ustnie. Ponadto decyzje te nie wymagają uzasadnienia.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Jednocześnie decyzje przekazane w sposób inny niż na piśmie, są następnie doręczane na piśmie</w:t>
      </w:r>
      <w:r w:rsidRPr="00BF0DCC">
        <w:rPr>
          <w:rFonts w:ascii="Calibri" w:eastAsia="Times New Roman" w:hAnsi="Calibri" w:cs="Calibri"/>
          <w:color w:val="2D2D2D"/>
          <w:lang w:eastAsia="pl-PL"/>
        </w:rPr>
        <w:br/>
        <w:t>po ustaniu przyczyn uniemożliwiających doręczenie w ten sposób.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12. Czy osobie skierowanej do pracy przy zwalczaniu epidemii przysługuje ochrona przed wypowiedzeniem umowy o pracę u dotychczasowego pracodawcy?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Przez czas trwania obowiązku pracy, z osobą skierowaną do pracy przy zwalczaniu epidemii nie może być rozwiązany dotychczasowy stosunek pracy ani nie może być dokonane wypowiedzenie umowy o pracę, chyba że istnieje podstawa do rozwiązania umowy o pracę bez wypowiedzenia z winy pracownika albo w przypadku zmiany lub uchylenia decyzji.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</w:t>
      </w:r>
      <w:r w:rsidRPr="00BF0DCC">
        <w:rPr>
          <w:rFonts w:ascii="Calibri" w:eastAsia="Times New Roman" w:hAnsi="Calibri" w:cs="Calibri"/>
          <w:b/>
          <w:bCs/>
          <w:color w:val="2D2D2D"/>
          <w:lang w:eastAsia="pl-PL"/>
        </w:rPr>
        <w:t>13. Jakie konsekwencje grożą za niepodporządkowanie się decyzji o skierowaniu do pracy?</w:t>
      </w:r>
    </w:p>
    <w:p w:rsidR="00BF0DCC" w:rsidRPr="00BF0DCC" w:rsidRDefault="00BF0DCC" w:rsidP="00BF0DCC">
      <w:pPr>
        <w:shd w:val="clear" w:color="auto" w:fill="FFFFFF"/>
        <w:spacing w:line="240" w:lineRule="auto"/>
        <w:ind w:right="0"/>
        <w:jc w:val="left"/>
        <w:rPr>
          <w:rFonts w:ascii="Calibri" w:eastAsia="Times New Roman" w:hAnsi="Calibri" w:cs="Calibri"/>
          <w:color w:val="2D2D2D"/>
          <w:lang w:eastAsia="pl-PL"/>
        </w:rPr>
      </w:pPr>
      <w:r w:rsidRPr="00BF0DCC">
        <w:rPr>
          <w:rFonts w:ascii="Calibri" w:eastAsia="Times New Roman" w:hAnsi="Calibri" w:cs="Calibri"/>
          <w:color w:val="2D2D2D"/>
          <w:lang w:eastAsia="pl-PL"/>
        </w:rPr>
        <w:t> Osoba, która nie wykonuje decyzji o skierowaniu do pracy przy zapobieganiu oraz zwalczaniu epidemii, podlega karze grzywny w wysokości do 5 tys. zł oraz karze administracyjnej od 5 tys. zł do 30 tys. zł. Ponadto na osobę, która w stanie zagrożenia epidemicznego lub stanu epidemii nie wykonuje decyzji o skierowaniu do pracy, może zostać nałożona kara pieniężna w wysokości od 5 tys. zł do 30 tys. zł.</w:t>
      </w:r>
    </w:p>
    <w:p w:rsidR="00F940EF" w:rsidRDefault="00F940EF"/>
    <w:sectPr w:rsidR="00F940EF" w:rsidSect="00F9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60D"/>
    <w:multiLevelType w:val="multilevel"/>
    <w:tmpl w:val="530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003663"/>
    <w:multiLevelType w:val="multilevel"/>
    <w:tmpl w:val="46F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074111"/>
    <w:multiLevelType w:val="multilevel"/>
    <w:tmpl w:val="C4A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F0DCC"/>
    <w:rsid w:val="009C7317"/>
    <w:rsid w:val="00BF0DCC"/>
    <w:rsid w:val="00F9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58" w:lineRule="auto"/>
        <w:ind w:right="10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cf4f04bmsonormal">
    <w:name w:val="gwpacf4f04b_msonormal"/>
    <w:basedOn w:val="Normalny"/>
    <w:rsid w:val="00BF0DCC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1309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Świdnik Mały2</dc:creator>
  <cp:lastModifiedBy>Szkoła Świdnik Mały2</cp:lastModifiedBy>
  <cp:revision>1</cp:revision>
  <dcterms:created xsi:type="dcterms:W3CDTF">2020-10-29T13:12:00Z</dcterms:created>
  <dcterms:modified xsi:type="dcterms:W3CDTF">2020-10-29T13:15:00Z</dcterms:modified>
</cp:coreProperties>
</file>