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6" w:rsidRPr="0080186D" w:rsidRDefault="00DA5F86" w:rsidP="00DA5F86">
      <w:pPr>
        <w:pStyle w:val="rozdzial"/>
        <w:spacing w:after="120"/>
        <w:ind w:left="0" w:firstLine="0"/>
      </w:pPr>
      <w:r w:rsidRPr="0080186D">
        <w:t xml:space="preserve">Przedmiotowy system oceniania </w:t>
      </w:r>
      <w:r>
        <w:t>z fizyki w klasie 8</w:t>
      </w:r>
    </w:p>
    <w:tbl>
      <w:tblPr>
        <w:tblW w:w="0" w:type="auto"/>
        <w:tblLook w:val="04A0"/>
      </w:tblPr>
      <w:tblGrid>
        <w:gridCol w:w="558"/>
      </w:tblGrid>
      <w:tr w:rsidR="00DA5F86" w:rsidRPr="0080186D" w:rsidTr="008937FA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/>
            </w:tblPr>
            <w:tblGrid>
              <w:gridCol w:w="222"/>
            </w:tblGrid>
            <w:tr w:rsidR="00DA5F86" w:rsidRPr="0080186D" w:rsidTr="008937FA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DA5F86" w:rsidRPr="0080186D" w:rsidRDefault="00DA5F86" w:rsidP="008937FA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5F86" w:rsidRPr="0080186D" w:rsidRDefault="00DA5F86" w:rsidP="008937FA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F86" w:rsidRPr="0080186D" w:rsidRDefault="00DA5F86" w:rsidP="00DA5F86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DA5F86" w:rsidRPr="0080186D" w:rsidRDefault="00DA5F86" w:rsidP="00DA5F86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DA5F86" w:rsidRPr="0080186D" w:rsidRDefault="00DA5F86" w:rsidP="00DA5F86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 xml:space="preserve">(łatwe – na stopień dostateczny i 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DA5F86" w:rsidRPr="0080186D" w:rsidRDefault="00DA5F86" w:rsidP="00DA5F86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 z niewielkiego wsparcia nauczyciela).</w:t>
      </w:r>
    </w:p>
    <w:p w:rsidR="00DA5F86" w:rsidRPr="0080186D" w:rsidRDefault="00DA5F86" w:rsidP="00DA5F86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DA5F86" w:rsidRPr="0080186D" w:rsidRDefault="00DA5F86" w:rsidP="00DA5F86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 xml:space="preserve">obejmują wymagania na stopień bardzo dobry, a 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DA5F86" w:rsidRPr="0080186D" w:rsidRDefault="00DA5F86" w:rsidP="00DA5F86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DA5F86" w:rsidRPr="0080186D" w:rsidRDefault="00DA5F86" w:rsidP="00DA5F86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 i wielkości fizyczne do opisu zjawisk oraz wskazuje ich przykłady w otaczającej rzeczywistości,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 i przeprowadza obserwacje lub doświadczenia oraz wnioskuje na podstawie ich wyników,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DA5F86" w:rsidRPr="0080186D" w:rsidRDefault="00DA5F86" w:rsidP="00DA5F86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DA5F86" w:rsidRPr="0080186D" w:rsidRDefault="00DA5F86" w:rsidP="00DA5F86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DA5F86" w:rsidRPr="0080186D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DA5F86" w:rsidRDefault="00DA5F86" w:rsidP="00DA5F86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 w zespole.</w:t>
      </w:r>
    </w:p>
    <w:p w:rsidR="00DA5F86" w:rsidRPr="0080186D" w:rsidRDefault="00DA5F86" w:rsidP="00DA5F86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A5F86" w:rsidRPr="0080186D" w:rsidRDefault="00DA5F86" w:rsidP="00DA5F86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lastRenderedPageBreak/>
        <w:t xml:space="preserve">Szczegółowe wymagania na poszczególne stopnie (oceny) </w:t>
      </w:r>
    </w:p>
    <w:p w:rsidR="00DA5F86" w:rsidRPr="0080186D" w:rsidRDefault="00DA5F86" w:rsidP="00DA5F86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DA5F86" w:rsidRPr="0080186D" w:rsidRDefault="00DA5F86" w:rsidP="00DA5F86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3921"/>
        <w:gridCol w:w="3771"/>
        <w:gridCol w:w="3068"/>
      </w:tblGrid>
      <w:tr w:rsidR="00DA5F86" w:rsidRPr="0080186D" w:rsidTr="008937FA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rysunków informacje kluczowe dla 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; podaje przykłady oddziaływań elektrostatycznych w otaczającej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 i izolatorów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DA5F86" w:rsidRPr="0080186D" w:rsidRDefault="00DA5F86" w:rsidP="008937FA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:rsidR="00DA5F86" w:rsidRDefault="00DA5F86" w:rsidP="008937FA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DA5F86" w:rsidRPr="00D80932" w:rsidRDefault="00DA5F86" w:rsidP="008937FA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przedstawia wyniki i formułuje wnioski na podstawie tych wyników)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grawitacyjne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 i zapisuje wynik zgodnie z zasadami zaokrąglania, z zachowaniem liczby cyfr znaczących wynikającej z danych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atoma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na tej podstawie uzasadnia podział substancji na przewodniki i izolatory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przewodników; uzasadnia na przykładach, że przewodnik można naelektryzować wtedy, gdy odizoluje się go od ziemi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wyjaśnia, na czym polega uziemienie ciała naelektryzowanego i zobojętnienie zgromadzonego na nim ładunku elektrycznego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i</w:t>
            </w:r>
            <w:proofErr w:type="spellEnd"/>
            <w:r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A5F86" w:rsidRDefault="00DA5F86" w:rsidP="008937FA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DA5F86" w:rsidRPr="00D80932" w:rsidRDefault="00DA5F86" w:rsidP="008937FA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Default="00DA5F86" w:rsidP="008937F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A5F86" w:rsidRPr="00D80932" w:rsidRDefault="00DA5F86" w:rsidP="008937F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pojęciem obwodu elektrycznego; podaje warunki przepływu prądu elektrycznego w obwodzie elektrycznym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szeregowo, woltomierz równolegle)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stosuje w obliczeniach związek między natężeniem prądu a ładunkiem i czasem jego przepływu przez poprzeczny przekrój przewodnika</w:t>
            </w:r>
          </w:p>
          <w:p w:rsidR="00DA5F86" w:rsidRPr="006C5765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DA5F86" w:rsidRPr="00173924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DA5F86" w:rsidRPr="00173924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podstawowe zasady udzie- lania pierwszej pomocy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skutki przerwania dostaw energii elektrycznej do urządzeń o kluczowym znaczeniu oraz rolę zasilania awaryjnego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DA5F86" w:rsidRDefault="00DA5F86" w:rsidP="008937FA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DA5F86" w:rsidRPr="006C5765" w:rsidRDefault="00DA5F86" w:rsidP="008937FA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zgodnie z zasadami zaokrąglania, z 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liczby cyfr znaczących wynikającej z dokładności pomiarów, formułuje wnioski na podstawie tych wyników)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jednostki czasu, przeprowadza obliczenia i zapisuje wynik zgodnie z zasadami zaokrąglania,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2D69B" w:themeColor="accent3" w:themeTint="99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DA5F86" w:rsidRPr="006C5765" w:rsidRDefault="00DA5F86" w:rsidP="008937FA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173924" w:rsidRDefault="00DA5F86" w:rsidP="008937F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doświad-czenie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podrę</w:t>
            </w:r>
            <w:r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>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  <w:lang w:val="pl-PL"/>
              </w:rPr>
              <w:br/>
            </m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igły magnetycznej w obecności magnesu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w otoczeniu prostoliniowego przewodnika z prądem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ilustracji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na przykładzie żelaza oddziaływanie magnesów na materiały magnetyczne; stwierdza, że w pobliżu magnesu każdy kawałek żelaza staje się magnesem (namagnesowuje się), a przedmioty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 ferromagnetyku wzmacniają oddziaływanie magnetyczne magnesu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jakościowo wzajemne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się przyciągają, a kiedy odpychają)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działanie elektromagnesu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 i magnesów; podaje przykłady zastosowania elektromagnesów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wzajemne oddziaływanie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oddziaływanie magnesów na żelazo i inne materiały magnetyczne,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zachowanie igły magnetycznej w 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 prądem,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:rsidR="00DA5F86" w:rsidRDefault="00DA5F86" w:rsidP="008937FA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zwojnicy od obecności w niej rdzenia z ferromagnetyku oraz liczby zwojów i natężenia prądu płynącego przez zwoje, </w:t>
            </w:r>
          </w:p>
          <w:p w:rsidR="00DA5F86" w:rsidRPr="0080186D" w:rsidRDefault="00DA5F86" w:rsidP="008937FA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i magnetyczne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magnetycznej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i zwojnicy (reguła śruby prawoskrętnej, reguła prawej dłoni, na podstawie ułożenia strzałek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oznaczają-cych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kierunek prądu – metoda liter S i N); stosuje wybrany sposób wyznaczania biegunowości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co to są paramagnetyki i diamagnetyki; podaje ich przykłady; przeprowadza doświadczenie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wy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kazujące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oddziaływanie magnesu na diamagnetyk, korzystając z jego opisu; formułuje wniosek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 i zwrot działania siły magnetycznej na podstawie reguły lewej dłoni</w:t>
            </w:r>
          </w:p>
          <w:p w:rsidR="00DA5F86" w:rsidRPr="00750CCB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demonstruje działanie siły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bada, od czego zależą jej wartość i zwrot,</w:t>
            </w:r>
          </w:p>
          <w:p w:rsidR="00DA5F86" w:rsidRDefault="00DA5F86" w:rsidP="008937FA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DA5F86" w:rsidRPr="00750CCB" w:rsidRDefault="00DA5F86" w:rsidP="008937FA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 xml:space="preserve">korzystając z ich opisu i przestrzegając zasad bezpieczeństwa; formułuje wnioski na podstawie wyników </w:t>
            </w:r>
            <w:proofErr w:type="spellStart"/>
            <w:r w:rsidRPr="00750CCB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750CCB">
              <w:rPr>
                <w:sz w:val="17"/>
                <w:szCs w:val="17"/>
                <w:lang w:val="pl-PL"/>
              </w:rPr>
              <w:t xml:space="preserve"> doświadczeń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Właściwości magnesów i ich </w:t>
            </w:r>
            <w:proofErr w:type="spellStart"/>
            <w:r w:rsidRPr="0080186D">
              <w:rPr>
                <w:i/>
                <w:sz w:val="17"/>
                <w:szCs w:val="17"/>
                <w:lang w:val="pl-PL"/>
              </w:rPr>
              <w:t>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projektuje i buduje elektromagnes (inny niż opisany w podręczniku); demonstruje jego działanie, przestrzegając zasad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  <w:proofErr w:type="spellEnd"/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 z analizą schematów urządzeń zawierających elektromagnesy)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DA5F86" w:rsidRPr="0080186D" w:rsidTr="008937FA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DRGANIA </w:t>
            </w:r>
            <w:proofErr w:type="spellStart"/>
            <w:r w:rsidRPr="0080186D">
              <w:rPr>
                <w:b/>
                <w:sz w:val="17"/>
                <w:szCs w:val="17"/>
              </w:rPr>
              <w:t>i</w:t>
            </w:r>
            <w:proofErr w:type="spellEnd"/>
            <w:r w:rsidRPr="0080186D">
              <w:rPr>
                <w:b/>
                <w:sz w:val="17"/>
                <w:szCs w:val="17"/>
              </w:rPr>
              <w:t> FALE</w:t>
            </w:r>
          </w:p>
        </w:tc>
      </w:tr>
      <w:tr w:rsidR="00DA5F86" w:rsidRPr="0080186D" w:rsidTr="008937FA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0B39E2" w:rsidRDefault="00DA5F86" w:rsidP="008937FA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:rsidR="00DA5F86" w:rsidRPr="000B39E2" w:rsidRDefault="00DA5F86" w:rsidP="008937FA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:rsidR="00DA5F86" w:rsidRPr="000B39E2" w:rsidRDefault="00DA5F86" w:rsidP="008937FA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wskazuje drgające ciało jako źródło fali mechanicznej; posługuje się pojęciami: amplitudy, okresu, częstotliwości i długości fali do opisu fal; podaje przykłady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dźwięku jest drgające ciało, a do jego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potrzebny jest ośrodek (dźwięk nie rozchodzi się w próżni); podaje przykłady źródeł dźwięków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fale dźwiękowe można opisać za pomocą tych samych związków między długością, prędkością, częstotliwością i okresem fali, jak w przypadku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porównuje wartości prędkości fal dźwiękowych w różnych ośrodkach, korzystając z tabeli tych wartości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rodzaje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: radiowe, mikrofale, promieniowanie podczerwone, światło widzialne, promieniowanie nadfioletowe, rentgenowskie i gamma; podaje przykłady ich zastosowania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zawieszonego na sprężynie lub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:rsidR="00DA5F86" w:rsidRDefault="00DA5F86" w:rsidP="008937FA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wytwarza dźwięki; bada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 i zależność ich głośności od amplitudy drgań,</w:t>
            </w:r>
          </w:p>
          <w:p w:rsidR="00DA5F86" w:rsidRPr="007A2480" w:rsidRDefault="00DA5F86" w:rsidP="008937FA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tekstów, tabel i ilustracji informacje kluczowe dla opisywanego zjawiska lub problemu; rozpoznaje zależność rosnącą i za-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malejącą na podstawie danych z tabeli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0B39E2" w:rsidRDefault="00DA5F86" w:rsidP="008937FA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:rsidR="00DA5F86" w:rsidRPr="000B39E2" w:rsidRDefault="00DA5F86" w:rsidP="008937F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 i amplitudę drgań</w:t>
            </w:r>
          </w:p>
          <w:p w:rsidR="00DA5F86" w:rsidRPr="000B39E2" w:rsidRDefault="00DA5F86" w:rsidP="008937F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wykona-nych</w:t>
            </w:r>
            <w:proofErr w:type="spellEnd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DA5F86" w:rsidRPr="00921BA1" w:rsidRDefault="00DA5F86" w:rsidP="008937FA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 (wahadła i 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lastRenderedPageBreak/>
              <w:t>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 z zasadami zaokrąglania, z zachowaniem liczby cyfr znaczących wynikającej z dokładności pomiarów; formułuje wnioski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analizuje jakościowo przemiany energii kinetycznej i energii potencjalnej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sprężysto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w ruchu drgającym; podaje przykłady przemian energii podczas drgań zachodzących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DA5F86" w:rsidRPr="007A2480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:rsidR="00DA5F86" w:rsidRPr="007A2480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drgającego przedmiotu lub instrumentu muzycznego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mechanizm powstawania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fal dźwiękowych w powietrzu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 z wykorzystaniem różnych technik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 w czasie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poszczególne rodzaje fal elektromagnetycznych; podaje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odpowia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im długości i częstotliwości fal, korzystając z diagramu przedstawiającego widmo fal elektromagnetycznych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 i różnice w rozchodzeniu się fal mechanicznych i elektromagnetycznych; podaje wartość prędkości fal elektromagnetycznych w próżni; porównuje wybrane fale (np.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 i świetlne)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jednostki czasu, przeprowadza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zapisuje wynik zgodnie z zasadami zaokrąglania, z zachowaniem liczby cyfr znaczących wynikającej z 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921BA1" w:rsidRDefault="00DA5F86" w:rsidP="008937F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 xml:space="preserve"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</w:t>
            </w:r>
            <w:proofErr w:type="spellStart"/>
            <w:r w:rsidRPr="00921BA1">
              <w:rPr>
                <w:spacing w:val="-4"/>
                <w:sz w:val="17"/>
                <w:szCs w:val="17"/>
                <w:lang w:val="pl-PL"/>
              </w:rPr>
              <w:t>przeprowadzo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</w:t>
            </w:r>
            <w:proofErr w:type="spellEnd"/>
            <w:r w:rsidRPr="00921BA1">
              <w:rPr>
                <w:spacing w:val="-4"/>
                <w:sz w:val="17"/>
                <w:szCs w:val="17"/>
                <w:lang w:val="pl-PL"/>
              </w:rPr>
              <w:t xml:space="preserve"> badania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DA5F86" w:rsidRPr="0080186D" w:rsidTr="008937FA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DA5F86" w:rsidRPr="0080186D" w:rsidTr="008937FA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</w:rPr>
              <w:lastRenderedPageBreak/>
              <w:t>0000000000000000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 i zwierciadeł sferycznych; opisuje i ilustruje zjawisko odbicia od powierzchni sferycznej</w:t>
            </w:r>
          </w:p>
          <w:p w:rsidR="00DA5F86" w:rsidRPr="00BB3E18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pojęciami ogniska i ogniskowej zwierciadła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i konstruuje graficznie bieg promieni ilustrujący powstawanie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pozornych wytwarzanych przez zwierciadła sferyczne, znając położenie ogniska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obrazy wytwarzane przez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zwierciadła sferyczne (podaje trzy cechy obrazu)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 i wysokości przedmiotu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pryzmacie; podaje inne przykłady rozszczepienia światła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i ilustruje bieg promieni równoległych do osi optycznej przechodzących przez soczewki skupiającą i rozpraszającą, posługując się pojęciami ogniska i ogni-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skowej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rozróżnia ogniska rzeczywiste i pozorne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 z wielkością obrazu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 w zależności od odległości przedmiotu od soczewki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budowę oka oraz powstawanie obrazu na siatkówce, korzystając ze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schematycznego rysunku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 i dalekowzroczności; opisuje rolę soczewek w korygowaniu tych wad wzroku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zwier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ciadeł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sferycznych,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:rsidR="00DA5F86" w:rsidRPr="0080186D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DA5F86" w:rsidRDefault="00DA5F86" w:rsidP="008937FA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 xml:space="preserve">otrzymuje za pomocą soczewki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skupiają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ostre obrazy przedmiotu na ekranie,</w:t>
            </w:r>
          </w:p>
          <w:p w:rsidR="00DA5F86" w:rsidRPr="00B02444" w:rsidRDefault="00DA5F86" w:rsidP="008937FA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 xml:space="preserve">wyjaśnia mechanizm zjawisk zaćmienia Słońca i Księżyca, korzystając ze schematycznych rysunków </w:t>
            </w:r>
            <w:proofErr w:type="spellStart"/>
            <w:r w:rsidRPr="0005791D">
              <w:rPr>
                <w:spacing w:val="4"/>
                <w:sz w:val="17"/>
                <w:szCs w:val="17"/>
                <w:lang w:val="pl-PL"/>
              </w:rPr>
              <w:t>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 i stosuje związek ogniskowej z promieniem krzywizny (w przybliżeniu</w:t>
            </w:r>
            <w:r w:rsidRPr="0005791D">
              <w:rPr>
                <w:sz w:val="17"/>
                <w:szCs w:val="17"/>
                <w:lang w:val="pl-PL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posługuje się pojęciem powiększenia obrazu jako ilorazu odległości obrazu od zwierciadła i odległości przedmiotu od zwierciadła; podaje i stosuje wzory na powiększenie obrazu 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>)</w:t>
            </w:r>
            <w:r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rozszczepienia światła w pryzmacie, posługując się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związkiem między prędkością światła a długością fali świetlnej w różnych ośrodkach i odwołując się do widma światła białego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 xml:space="preserve">posługuje się pojęciem zdolności </w:t>
            </w:r>
            <w:proofErr w:type="spellStart"/>
            <w:r w:rsidRPr="0005791D">
              <w:rPr>
                <w:spacing w:val="-4"/>
                <w:sz w:val="17"/>
                <w:szCs w:val="17"/>
                <w:lang w:val="pl-PL"/>
              </w:rPr>
              <w:t>sku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piającej</w:t>
            </w:r>
            <w:proofErr w:type="spellEnd"/>
            <w:r w:rsidRPr="0005791D">
              <w:rPr>
                <w:spacing w:val="-4"/>
                <w:sz w:val="17"/>
                <w:szCs w:val="17"/>
                <w:lang w:val="pl-PL"/>
              </w:rPr>
              <w:t xml:space="preserve">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 i odległości przedmiotu od soczewki; podaje i 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>)</w:t>
            </w:r>
            <w:r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 stwierdza,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 w zależności od odległości przedmiotu od soczewki skupiającej i rodzaju soczewki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pojęciami astygmatyzmu i da</w:t>
            </w:r>
            <w:r>
              <w:rPr>
                <w:sz w:val="17"/>
                <w:szCs w:val="17"/>
                <w:lang w:val="pl-PL"/>
              </w:rPr>
              <w:t>l</w:t>
            </w:r>
            <w:r w:rsidRPr="0080186D">
              <w:rPr>
                <w:sz w:val="17"/>
                <w:szCs w:val="17"/>
                <w:lang w:val="pl-PL"/>
              </w:rPr>
              <w:t>tonizmu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DA5F86" w:rsidRPr="0080186D" w:rsidRDefault="00DA5F86" w:rsidP="008937FA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opisuje zagadkowe zjawiska </w:t>
            </w:r>
            <w:proofErr w:type="spellStart"/>
            <w:r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czne</w:t>
            </w:r>
            <w:proofErr w:type="spellEnd"/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występujące w przyrodzie (np.</w:t>
            </w:r>
            <w:r>
              <w:rPr>
                <w:spacing w:val="-8"/>
                <w:sz w:val="17"/>
                <w:szCs w:val="17"/>
                <w:lang w:val="pl-PL"/>
              </w:rPr>
              <w:t> 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proofErr w:type="spellStart"/>
            <w:r w:rsidRPr="0005791D">
              <w:rPr>
                <w:spacing w:val="-8"/>
                <w:sz w:val="17"/>
                <w:szCs w:val="17"/>
                <w:lang w:val="pl-PL"/>
              </w:rPr>
              <w:t>Brockenu</w:t>
            </w:r>
            <w:proofErr w:type="spellEnd"/>
            <w:r w:rsidRPr="0005791D">
              <w:rPr>
                <w:spacing w:val="-8"/>
                <w:sz w:val="17"/>
                <w:szCs w:val="17"/>
                <w:lang w:val="pl-PL"/>
              </w:rPr>
              <w:t>, halo)</w:t>
            </w:r>
          </w:p>
          <w:p w:rsidR="00DA5F86" w:rsidRPr="0005791D" w:rsidRDefault="00DA5F86" w:rsidP="008937FA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opisuje wykorzystanie zwierciadeł i soczewek w przyrządach </w:t>
            </w:r>
            <w:proofErr w:type="spellStart"/>
            <w:r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cznych</w:t>
            </w:r>
            <w:proofErr w:type="spellEnd"/>
            <w:r w:rsidRPr="0005791D">
              <w:rPr>
                <w:spacing w:val="-8"/>
                <w:sz w:val="17"/>
                <w:szCs w:val="17"/>
                <w:lang w:val="pl-PL"/>
              </w:rPr>
              <w:t xml:space="preserve"> (np. mikroskopie, lunecie)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DA5F86" w:rsidRPr="0080186D" w:rsidRDefault="00DA5F86" w:rsidP="008937FA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210ADE" w:rsidRDefault="00210ADE"/>
    <w:sectPr w:rsidR="00210ADE" w:rsidSect="00DA5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5F86"/>
    <w:rsid w:val="00210ADE"/>
    <w:rsid w:val="00DA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5F8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DA5F86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A5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DA5F86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DA5F86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DA5F86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DA5F86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DA5F86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DA5F86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5F86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DA5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DA5F86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DA5F86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DA5F86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DA5F86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DA5F86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DA5F86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paragraph" w:customStyle="1" w:styleId="punktory">
    <w:name w:val="punktory"/>
    <w:basedOn w:val="Akapitzlist"/>
    <w:link w:val="punktoryZnak"/>
    <w:qFormat/>
    <w:rsid w:val="00DA5F86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DA5F86"/>
    <w:rPr>
      <w:rFonts w:ascii="Times New Roman" w:hAnsi="Times New Roman" w:cs="Times New Roman"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DA5F86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DA5F86"/>
  </w:style>
  <w:style w:type="character" w:customStyle="1" w:styleId="Sty10Znak">
    <w:name w:val="Sty10 Znak"/>
    <w:basedOn w:val="punktoryZnak"/>
    <w:link w:val="Sty10"/>
    <w:rsid w:val="00DA5F86"/>
  </w:style>
  <w:style w:type="character" w:customStyle="1" w:styleId="AkapitzlistZnak">
    <w:name w:val="Akapit z listą Znak"/>
    <w:basedOn w:val="Domylnaczcionkaakapitu"/>
    <w:link w:val="Akapitzlist"/>
    <w:uiPriority w:val="1"/>
    <w:rsid w:val="00DA5F86"/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DA5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A5F86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DA5F86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DA5F86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A5F86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5F86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A5F86"/>
  </w:style>
  <w:style w:type="paragraph" w:customStyle="1" w:styleId="rozdzial">
    <w:name w:val="rozdzial"/>
    <w:basedOn w:val="Normalny"/>
    <w:uiPriority w:val="99"/>
    <w:rsid w:val="00DA5F86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DA5F86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DA5F86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DA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DA5F86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DA5F86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A5F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86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5F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86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DA5F86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DA5F86"/>
    <w:rPr>
      <w:rFonts w:cs="Times New Roman"/>
      <w:sz w:val="16"/>
      <w:szCs w:val="16"/>
      <w:lang w:val="en-US"/>
    </w:rPr>
  </w:style>
  <w:style w:type="paragraph" w:customStyle="1" w:styleId="Lista0listy">
    <w:name w:val="Lista 0 (listy)"/>
    <w:basedOn w:val="tekstglowny"/>
    <w:uiPriority w:val="99"/>
    <w:rsid w:val="00DA5F86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F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86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86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F86"/>
    <w:rPr>
      <w:b/>
      <w:bCs/>
    </w:rPr>
  </w:style>
  <w:style w:type="paragraph" w:styleId="Poprawka">
    <w:name w:val="Revision"/>
    <w:hidden/>
    <w:uiPriority w:val="99"/>
    <w:semiHidden/>
    <w:rsid w:val="00DA5F86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DA5F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4694</Words>
  <Characters>28167</Characters>
  <Application>Microsoft Office Word</Application>
  <DocSecurity>0</DocSecurity>
  <Lines>234</Lines>
  <Paragraphs>65</Paragraphs>
  <ScaleCrop>false</ScaleCrop>
  <Company/>
  <LinksUpToDate>false</LinksUpToDate>
  <CharactersWithSpaces>32796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2019-11-14T09:53:00Z</dcterms:created>
  <dcterms:modified xsi:type="dcterms:W3CDTF">2019-11-14T09:55:00Z</dcterms:modified>
</cp:coreProperties>
</file>