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1" w:rsidRPr="00C127F1" w:rsidRDefault="001E0991" w:rsidP="001E0991">
      <w:pPr>
        <w:pStyle w:val="rozdzial"/>
      </w:pPr>
      <w:bookmarkStart w:id="0" w:name="_GoBack"/>
      <w:bookmarkEnd w:id="0"/>
      <w:r w:rsidRPr="00C127F1">
        <w:t xml:space="preserve">Przedmiotowy system oceniania </w:t>
      </w:r>
      <w:r>
        <w:t>z fizyki w klasie 7</w:t>
      </w:r>
    </w:p>
    <w:tbl>
      <w:tblPr>
        <w:tblW w:w="0" w:type="auto"/>
        <w:tblLook w:val="0000"/>
      </w:tblPr>
      <w:tblGrid>
        <w:gridCol w:w="222"/>
      </w:tblGrid>
      <w:tr w:rsidR="001E0991" w:rsidRPr="00A65C11" w:rsidTr="008937FA">
        <w:trPr>
          <w:cantSplit/>
          <w:trHeight w:val="170"/>
        </w:trPr>
        <w:tc>
          <w:tcPr>
            <w:tcW w:w="0" w:type="auto"/>
          </w:tcPr>
          <w:p w:rsidR="001E0991" w:rsidRPr="00372F93" w:rsidRDefault="001E0991" w:rsidP="008937FA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991" w:rsidRPr="00C127F1" w:rsidRDefault="001E0991" w:rsidP="001E0991">
      <w:pPr>
        <w:pStyle w:val="tekstglowny"/>
        <w:rPr>
          <w:rFonts w:ascii="CentSchbookEU-Bold" w:hAnsi="CentSchbookEU-Bold" w:cs="CentSchbookEU-Bold"/>
          <w:b/>
          <w:bCs/>
        </w:rPr>
      </w:pPr>
    </w:p>
    <w:p w:rsidR="001E0991" w:rsidRPr="00C127F1" w:rsidRDefault="001E0991" w:rsidP="001E0991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1E0991" w:rsidRPr="00372F93" w:rsidRDefault="001E0991" w:rsidP="001E0991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1E0991" w:rsidRPr="00372F93" w:rsidRDefault="001E0991" w:rsidP="001E0991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1E0991" w:rsidRPr="00372F93" w:rsidRDefault="001E0991" w:rsidP="001E0991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1E0991" w:rsidRPr="00372F93" w:rsidRDefault="001E0991" w:rsidP="001E0991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4.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1E0991" w:rsidRPr="00372F93" w:rsidRDefault="001E0991" w:rsidP="001E0991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1E0991" w:rsidRPr="00372F93" w:rsidRDefault="001E0991" w:rsidP="001E0991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1E0991" w:rsidRPr="00372F93" w:rsidRDefault="001E0991" w:rsidP="001E0991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1E0991" w:rsidRPr="00372F93" w:rsidRDefault="001E0991" w:rsidP="001E0991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1E0991" w:rsidRPr="00372F93" w:rsidRDefault="001E0991" w:rsidP="001E0991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1E0991" w:rsidRPr="00372F93" w:rsidRDefault="001E0991" w:rsidP="001E0991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1E0991" w:rsidRPr="00372F93" w:rsidRDefault="001E0991" w:rsidP="001E0991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1E0991" w:rsidRPr="00372F93" w:rsidRDefault="001E0991" w:rsidP="001E0991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1E0991" w:rsidRPr="00372F93" w:rsidRDefault="001E0991" w:rsidP="001E0991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1E0991" w:rsidRPr="00372F93" w:rsidRDefault="001E0991" w:rsidP="001E0991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1E0991" w:rsidRPr="00372F93" w:rsidRDefault="001E0991" w:rsidP="001E0991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1E0991" w:rsidRPr="00C127F1" w:rsidRDefault="001E0991" w:rsidP="001E0991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1E0991" w:rsidRPr="00556787" w:rsidRDefault="001E0991" w:rsidP="001E0991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1E0991" w:rsidTr="008937FA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991" w:rsidRDefault="001E0991" w:rsidP="008937FA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991" w:rsidRDefault="001E0991" w:rsidP="008937FA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991" w:rsidRDefault="001E0991" w:rsidP="008937FA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991" w:rsidRDefault="001E0991" w:rsidP="008937FA">
            <w:pPr>
              <w:pStyle w:val="tabelaglowatabela"/>
            </w:pPr>
            <w:r>
              <w:t>Stopień bardzo dobry</w:t>
            </w:r>
          </w:p>
        </w:tc>
      </w:tr>
      <w:tr w:rsidR="001E0991" w:rsidRPr="00A65C11" w:rsidTr="008937F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1E0991" w:rsidRPr="0011106B" w:rsidRDefault="001E0991" w:rsidP="008937FA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1E0991" w:rsidRPr="00A65C11" w:rsidTr="008937FA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wymienia podstawowe metody badań </w:t>
            </w:r>
            <w:r w:rsidRPr="00C127F1">
              <w:lastRenderedPageBreak/>
              <w:t>stosowane w fizyce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spellStart"/>
            <w:r w:rsidRPr="00C127F1">
              <w:lastRenderedPageBreak/>
              <w:t>rożróżnia</w:t>
            </w:r>
            <w:proofErr w:type="spellEnd"/>
            <w:r w:rsidRPr="00C127F1">
              <w:t xml:space="preserve"> siłę wypadkową i siłę równoważącą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podaje przykłady powiązań fizyki z życiem codziennym, techniką, medycyną oraz </w:t>
            </w:r>
            <w:r w:rsidRPr="00C127F1">
              <w:lastRenderedPageBreak/>
              <w:t>inn</w:t>
            </w:r>
            <w:r w:rsidRPr="00C127F1">
              <w:t>y</w:t>
            </w:r>
            <w:r w:rsidRPr="00C127F1">
              <w:t>mi dziedzinami wiedzy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1E0991" w:rsidRPr="0011106B" w:rsidRDefault="001E0991" w:rsidP="008937FA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 xml:space="preserve">stosuje </w:t>
            </w:r>
            <w:proofErr w:type="spellStart"/>
            <w:r w:rsidRPr="00C127F1">
              <w:t>pojącie</w:t>
            </w:r>
            <w:proofErr w:type="spellEnd"/>
            <w:r w:rsidRPr="00C127F1">
              <w:t xml:space="preserve">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1E0991" w:rsidRPr="00C127F1" w:rsidRDefault="001E0991" w:rsidP="008937FA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1E0991" w:rsidRPr="00C127F1" w:rsidRDefault="001E0991" w:rsidP="008937FA">
            <w:pPr>
              <w:pStyle w:val="tabelapolpauzytabela"/>
              <w:numPr>
                <w:ilvl w:val="0"/>
                <w:numId w:val="10"/>
              </w:numPr>
            </w:pPr>
            <w:r w:rsidRPr="00C127F1">
              <w:lastRenderedPageBreak/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1E0991" w:rsidRPr="00C127F1" w:rsidRDefault="001E0991" w:rsidP="008937FA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</w:t>
            </w:r>
            <w:r w:rsidRPr="00C127F1">
              <w:lastRenderedPageBreak/>
              <w:t>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klasyfikuje</w:t>
            </w:r>
            <w:proofErr w:type="spellEnd"/>
            <w:r w:rsidRPr="00C127F1">
              <w:t xml:space="preserve"> podstawowe oddziaływania występujące w przyrodzie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wyznacza i rysuje siłę wypadkową dla kilku sił o jednakowych kierunkach; określa jej </w:t>
            </w:r>
            <w:r w:rsidRPr="00C127F1">
              <w:lastRenderedPageBreak/>
              <w:t>cechy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1E0991" w:rsidRPr="00C127F1" w:rsidRDefault="001E0991" w:rsidP="008937FA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podaje przykłady osiągnięć fizyków cennych dla rozwoju cywilizacji </w:t>
            </w:r>
            <w:r w:rsidRPr="00C127F1">
              <w:lastRenderedPageBreak/>
              <w:t>(współczesnej techniki i technologii)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1E0991" w:rsidRPr="00A65C11" w:rsidTr="008937FA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1E0991" w:rsidRPr="0011106B" w:rsidRDefault="001E0991" w:rsidP="008937FA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1E0991" w:rsidRPr="00A65C11" w:rsidTr="008937FA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lastRenderedPageBreak/>
              <w:t>rozróżnia pojęcia: masa, ciężar ciała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ilustruje działanie sił spójności na przykładzie mechanizmu tworzenia się kropli; tłumaczy </w:t>
            </w:r>
            <w:r w:rsidRPr="00C127F1">
              <w:lastRenderedPageBreak/>
              <w:t>formowanie się kropli w kontekście istnienia sił spójności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C127F1">
              <w:lastRenderedPageBreak/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1E0991" w:rsidRPr="0011106B" w:rsidRDefault="001E0991" w:rsidP="008937FA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wykonany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1E0991" w:rsidRPr="00C127F1" w:rsidRDefault="001E0991" w:rsidP="008937FA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wyjaśnia</w:t>
            </w:r>
            <w:proofErr w:type="spellEnd"/>
            <w:r w:rsidRPr="00C127F1">
              <w:t>, na czym polega zjawisko dyfuzji i od czego zależy jego szybkość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wymienia</w:t>
            </w:r>
            <w:proofErr w:type="spellEnd"/>
            <w:r w:rsidRPr="00C127F1">
              <w:t xml:space="preserve">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na</w:t>
            </w:r>
            <w:proofErr w:type="spellEnd"/>
            <w:r w:rsidRPr="00C127F1">
              <w:t xml:space="preserve"> podstawie widocznego menisku danej cieczy w cienkiej rurce określa, czy większe są siły przylegania czy siły spójności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lastRenderedPageBreak/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laboratoryjnej;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1E0991" w:rsidRPr="00C127F1" w:rsidRDefault="001E0991" w:rsidP="008937FA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</w:t>
            </w:r>
            <w:r w:rsidRPr="00C127F1">
              <w:lastRenderedPageBreak/>
              <w:t>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1E0991" w:rsidTr="008937F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0991" w:rsidRPr="0011106B" w:rsidRDefault="001E0991" w:rsidP="008937FA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1E0991" w:rsidRPr="00A65C11" w:rsidTr="008937F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1E0991" w:rsidRPr="00C127F1" w:rsidRDefault="001E0991" w:rsidP="008937FA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(mili-, centy-, kilo-, mega-)</w:t>
            </w:r>
          </w:p>
          <w:p w:rsidR="001E0991" w:rsidRPr="00A65C11" w:rsidRDefault="001E0991" w:rsidP="008937FA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1E0991" w:rsidRPr="0011106B" w:rsidRDefault="001E0991" w:rsidP="008937FA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 xml:space="preserve">analizuje siły działające na ciała zanurzone w cieczach lub gazach, posługując się pojęciem siły wyporu i prawem Archimedesa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1E0991" w:rsidRDefault="001E0991" w:rsidP="008937F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>
              <w:t xml:space="preserve"> i formułuje prawo Archim</w:t>
            </w:r>
            <w:r>
              <w:t>e</w:t>
            </w:r>
            <w:r>
              <w:t xml:space="preserve">desa 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</w:t>
            </w:r>
            <w:r w:rsidRPr="00C127F1">
              <w:lastRenderedPageBreak/>
              <w:t>zależn</w:t>
            </w:r>
            <w:r w:rsidRPr="00C127F1">
              <w:t>o</w:t>
            </w:r>
            <w:r w:rsidRPr="00C127F1">
              <w:t>ści między ciśnieniem, parciem i polem powierzchni,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>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opisuje</w:t>
            </w:r>
            <w:proofErr w:type="spellEnd"/>
            <w:r w:rsidRPr="00C127F1">
              <w:t xml:space="preserve"> paradoks hydrostatyczny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rozwiązuje typowe zadania obliczeniowe z wykorzystaniem warunków pływania ciał; przeprowadza obliczenia i zapisuje wynik zgodnie z zasadami zaokrąglania oraz zachowaniem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1E0991" w:rsidRPr="00760232" w:rsidRDefault="001E0991" w:rsidP="008937FA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1E0991" w:rsidTr="008937FA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991" w:rsidRPr="0011106B" w:rsidRDefault="001E0991" w:rsidP="008937FA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1E0991" w:rsidRPr="00A65C11" w:rsidTr="008937F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lastRenderedPageBreak/>
              <w:t>posługuje się pojęciem przyspieszenia do opisu ruchu prostoliniowego jednostajnie przyspieszonego i jednostajnie opóźnionego; podaje jednostkę przyspieszenia w układzie 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(mili-, centy-, kilo-, mega-) oraz jednostki czasu (sekunda, minuta, godzina)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 xml:space="preserve">oblicza wartość przyspieszenia wraz z jednostką; przelicza jednostki przyspieszenia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porównuje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1E0991" w:rsidRDefault="001E0991" w:rsidP="008937F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zgodnie z zasadami zaokrąglania oraz </w:t>
            </w:r>
            <w:r w:rsidRPr="00C127F1">
              <w:lastRenderedPageBreak/>
              <w:t>zachowaniem liczby cyfr znaczących wynikającej z dokładnoś</w:t>
            </w:r>
            <w:r>
              <w:t xml:space="preserve">ci pomiarów; formułuje wnioski 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11106B" w:rsidRDefault="001E0991" w:rsidP="008937F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opisuje</w:t>
            </w:r>
            <w:proofErr w:type="spellEnd"/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</w:t>
            </w:r>
            <w:r w:rsidRPr="0011106B">
              <w:lastRenderedPageBreak/>
              <w:t>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</w:t>
            </w:r>
            <w:proofErr w:type="spellEnd"/>
            <w:r w:rsidRPr="0011106B">
              <w:rPr>
                <w:position w:val="2"/>
              </w:rPr>
              <w:t xml:space="preserve">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proofErr w:type="spellEnd"/>
            <w:r w:rsidRPr="0011106B">
              <w:rPr>
                <w:position w:val="2"/>
              </w:rPr>
              <w:t xml:space="preserve">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lastRenderedPageBreak/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1E0991" w:rsidRPr="00C127F1" w:rsidRDefault="001E0991" w:rsidP="008937FA">
            <w:pPr>
              <w:pStyle w:val="tabelapunktytabela"/>
              <w:ind w:firstLine="0"/>
            </w:pPr>
            <w:r>
              <w:t>or</w:t>
            </w:r>
            <w:r w:rsidRPr="00C127F1">
              <w:t>az związane z analizą wykresów zale</w:t>
            </w:r>
            <w:r w:rsidRPr="00C127F1">
              <w:t>ż</w:t>
            </w:r>
            <w:r w:rsidRPr="00C127F1">
              <w:t>ności drogi i prędkości od czasu dla r</w:t>
            </w:r>
            <w:r w:rsidRPr="00C127F1">
              <w:t>u</w:t>
            </w:r>
            <w:r w:rsidRPr="00C127F1">
              <w:t>chów prostoliniowych: jednostajnego i jednostajnie zmiennego)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lastRenderedPageBreak/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1E0991" w:rsidRDefault="001E0991" w:rsidP="008937FA">
            <w:pPr>
              <w:pStyle w:val="tabelapunktytabela"/>
              <w:ind w:left="0" w:firstLine="0"/>
            </w:pPr>
          </w:p>
        </w:tc>
      </w:tr>
      <w:tr w:rsidR="001E0991" w:rsidTr="008937FA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1E0991" w:rsidRDefault="001E0991" w:rsidP="008937FA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1E0991" w:rsidRPr="00A65C11" w:rsidTr="008937F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6"/>
            </w:pPr>
            <w:r w:rsidRPr="00C127F1"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podaje treść trzeciej zasady dynamiki Newtona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1E0991" w:rsidRPr="00C127F1" w:rsidRDefault="001E0991" w:rsidP="008937F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(mili-, centy-, kilo-, mega-)</w:t>
            </w:r>
          </w:p>
          <w:p w:rsidR="001E0991" w:rsidRPr="005C330A" w:rsidRDefault="001E0991" w:rsidP="008937FA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zjawisko odrzutu i wskazuje jego </w:t>
            </w:r>
            <w:r w:rsidRPr="00C127F1">
              <w:lastRenderedPageBreak/>
              <w:t>prz</w:t>
            </w:r>
            <w:r w:rsidRPr="00C127F1">
              <w:t>y</w:t>
            </w:r>
            <w:r w:rsidRPr="00C127F1">
              <w:t>kłady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1E0991" w:rsidRPr="0011106B" w:rsidRDefault="001E0991" w:rsidP="008937FA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1E0991" w:rsidRPr="00C127F1" w:rsidRDefault="001E0991" w:rsidP="008937F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1E0991" w:rsidRDefault="001E0991" w:rsidP="008937F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63"/>
              </w:numPr>
            </w:pPr>
            <w:r w:rsidRPr="00C127F1">
              <w:lastRenderedPageBreak/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wyznacza</w:t>
            </w:r>
            <w:proofErr w:type="spellEnd"/>
            <w:r w:rsidRPr="00C127F1">
              <w:t xml:space="preserve"> i rysuje siłę wypadkową sił o różnych kierunkach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wzór na obliczanie siły tarcia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 xml:space="preserve">miaru; wskazuje czynniki istotne i nieistotne dla przebiegu </w:t>
            </w:r>
            <w:r w:rsidRPr="00C127F1">
              <w:lastRenderedPageBreak/>
              <w:t>doświadczeń)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1E0991" w:rsidRPr="00D66680" w:rsidRDefault="001E0991" w:rsidP="008937FA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1E0991" w:rsidRPr="009027AB" w:rsidRDefault="001E0991" w:rsidP="008937FA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1E0991" w:rsidTr="008937F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1E0991" w:rsidRDefault="001E0991" w:rsidP="008937FA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1E0991" w:rsidRPr="00A65C11" w:rsidTr="008937F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11"/>
            </w:pPr>
            <w:r w:rsidRPr="00C127F1"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posługuje się pojęciem energii potencjalnej </w:t>
            </w:r>
            <w:r w:rsidRPr="00C127F1">
              <w:lastRenderedPageBreak/>
              <w:t>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oraz jednostki czasu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jednostką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opisuje i wykorzystuje zależność energii </w:t>
            </w:r>
            <w:r w:rsidRPr="00C127F1">
              <w:lastRenderedPageBreak/>
              <w:t>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1E0991" w:rsidRPr="00C127F1" w:rsidRDefault="001E0991" w:rsidP="008937F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1E0991" w:rsidRPr="00C127F1" w:rsidRDefault="001E0991" w:rsidP="008937F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1E0991" w:rsidRPr="00C127F1" w:rsidRDefault="001E0991" w:rsidP="008937F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1E0991" w:rsidRPr="00C127F1" w:rsidRDefault="001E0991" w:rsidP="008937F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1E0991" w:rsidRPr="00C127F1" w:rsidRDefault="001E0991" w:rsidP="008937F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1E0991" w:rsidRPr="00C127F1" w:rsidRDefault="001E0991" w:rsidP="008937FA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</w:t>
            </w:r>
            <w:r w:rsidRPr="00C127F1">
              <w:lastRenderedPageBreak/>
              <w:t xml:space="preserve">oraz zasady zachowania energii mechanicznej) 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wyjaśnia</w:t>
            </w:r>
            <w:proofErr w:type="spellEnd"/>
            <w:r w:rsidRPr="00C127F1">
              <w:t xml:space="preserve"> sposób obliczania pracy, gdy kierunek działającej na ciało siły nie jest zgodny z kierunkiem jego ruchu 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</w:t>
            </w:r>
            <w:proofErr w:type="spellEnd"/>
            <w:r w:rsidRPr="0011106B">
              <w:t>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lastRenderedPageBreak/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wykazuje</w:t>
            </w:r>
            <w:proofErr w:type="spellEnd"/>
            <w:r w:rsidRPr="00C127F1">
              <w:t>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oraz mocy;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1E0991" w:rsidRPr="00C127F1" w:rsidRDefault="001E0991" w:rsidP="008937FA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1E0991" w:rsidRPr="00791A66" w:rsidRDefault="001E0991" w:rsidP="008937FA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1E0991" w:rsidRPr="00791A66" w:rsidRDefault="001E0991" w:rsidP="008937FA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1E0991" w:rsidTr="008937F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1E0991" w:rsidRDefault="001E0991" w:rsidP="008937FA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1E0991" w:rsidRPr="00A65C11" w:rsidTr="008937F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porównuje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rozróżnia i nazywa zmiany stanów </w:t>
            </w:r>
            <w:r w:rsidRPr="00C127F1">
              <w:lastRenderedPageBreak/>
              <w:t>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</w:t>
            </w:r>
            <w:r w:rsidRPr="00C127F1">
              <w:t>e</w:t>
            </w:r>
            <w:r w:rsidRPr="00C127F1">
              <w:t>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1E0991" w:rsidRPr="00C127F1" w:rsidRDefault="001E0991" w:rsidP="008937FA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lastRenderedPageBreak/>
              <w:t>przelicza wielokrotności i </w:t>
            </w:r>
            <w:proofErr w:type="spellStart"/>
            <w:r w:rsidRPr="00C127F1">
              <w:t>podwielokrotności</w:t>
            </w:r>
            <w:proofErr w:type="spellEnd"/>
            <w:r w:rsidRPr="00C127F1">
              <w:t xml:space="preserve"> oraz jednostki czasu</w:t>
            </w:r>
          </w:p>
          <w:p w:rsidR="001E0991" w:rsidRPr="00791A66" w:rsidRDefault="001E0991" w:rsidP="008937FA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posługuje się pojęciem przepływu ciepła jako przekazywaniem energii w postaci ciepła oraz </w:t>
            </w:r>
            <w:r w:rsidRPr="00C127F1">
              <w:lastRenderedPageBreak/>
              <w:t>jednostką ciepła w układzie SI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>
              <w:t>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>
              <w:t>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lastRenderedPageBreak/>
              <w:t xml:space="preserve">wyjaśnia, jak obliczyć ilość ciepła pobranego (oddanego) przez ciało podczas ogrzewania (oziębiania); podaje wzór </w:t>
            </w:r>
            <w:r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Pr="00205BD0">
              <w:fldChar w:fldCharType="end"/>
            </w:r>
          </w:p>
          <w:p w:rsidR="001E0991" w:rsidRPr="0011106B" w:rsidRDefault="001E0991" w:rsidP="008937FA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doświadczalnie demonstruje zjawiska wrzenia </w:t>
            </w:r>
            <w:r w:rsidRPr="00C127F1">
              <w:lastRenderedPageBreak/>
              <w:t>i skraplania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1E0991" w:rsidRPr="0011106B" w:rsidRDefault="001E0991" w:rsidP="008937FA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1E0991" w:rsidRPr="00C127F1" w:rsidRDefault="001E0991" w:rsidP="008937F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</w:t>
            </w:r>
            <w:r w:rsidRPr="00C127F1">
              <w:t>a</w:t>
            </w:r>
            <w:r w:rsidRPr="00C127F1">
              <w:t>nia); wykonuje obliczenia i zapisuje wynik zgodnie z zasadami zaokrąglania oraz zach</w:t>
            </w:r>
            <w:r w:rsidRPr="00C127F1">
              <w:t>o</w:t>
            </w:r>
            <w:r w:rsidRPr="00C127F1">
              <w:t>waniem liczby cyfr znaczących wynikającej z dokładności danych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opisuje</w:t>
            </w:r>
            <w:proofErr w:type="spellEnd"/>
            <w:r w:rsidRPr="00C127F1">
              <w:t xml:space="preserve">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rysuje</w:t>
            </w:r>
            <w:proofErr w:type="spellEnd"/>
            <w:r w:rsidRPr="00C127F1">
              <w:t xml:space="preserve"> wykres zależności temperatury od czasu ogrzewania lub oziębiania </w:t>
            </w:r>
            <w:r w:rsidRPr="00C127F1">
              <w:lastRenderedPageBreak/>
              <w:t>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topnienia wraz z jednostką w układzie SI; podaje wzór na ciepło topnienia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parowania wraz z jednostką w układzie SI; podaje wzór na ciepło parowania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wyjaśnia</w:t>
            </w:r>
            <w:proofErr w:type="spellEnd"/>
            <w:r w:rsidRPr="00C127F1">
              <w:t xml:space="preserve"> zależność temperatury wrzenia od ciśnienia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zadania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</w:t>
            </w:r>
            <w:r w:rsidRPr="00C127F1">
              <w:lastRenderedPageBreak/>
              <w:t xml:space="preserve">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1E0991" w:rsidRPr="0011106B" w:rsidRDefault="001E0991" w:rsidP="008937FA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1E0991" w:rsidRPr="00C127F1" w:rsidRDefault="001E0991" w:rsidP="008937FA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1E0991" w:rsidRDefault="001E0991" w:rsidP="008937FA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1E0991" w:rsidRPr="00791A66" w:rsidRDefault="001E0991" w:rsidP="008937FA">
            <w:pPr>
              <w:pStyle w:val="tabelapolpauzytabela"/>
              <w:ind w:left="170" w:firstLine="0"/>
            </w:pPr>
            <w:r w:rsidRPr="00C127F1">
              <w:t>a </w:t>
            </w:r>
            <w:proofErr w:type="spellStart"/>
            <w:r w:rsidRPr="00C127F1">
              <w:t>wszczególności</w:t>
            </w:r>
            <w:proofErr w:type="spellEnd"/>
            <w:r w:rsidRPr="00C127F1">
              <w:t xml:space="preserve">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1E0991" w:rsidRPr="00C127F1" w:rsidRDefault="001E0991" w:rsidP="008937FA">
            <w:pPr>
              <w:pStyle w:val="tabelatresctabela"/>
            </w:pPr>
            <w:r w:rsidRPr="00C127F1">
              <w:lastRenderedPageBreak/>
              <w:t>Uczeń: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1E0991" w:rsidRDefault="001E0991" w:rsidP="008937FA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1E0991" w:rsidRPr="00C127F1" w:rsidRDefault="001E0991" w:rsidP="008937FA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1E0991" w:rsidRPr="00A65C11" w:rsidRDefault="001E0991" w:rsidP="008937F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210ADE" w:rsidRPr="001E0991" w:rsidRDefault="00210ADE" w:rsidP="001E0991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10ADE" w:rsidRPr="001E0991" w:rsidSect="001E09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0991"/>
    <w:rsid w:val="001E0991"/>
    <w:rsid w:val="00210ADE"/>
    <w:rsid w:val="0079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991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1E09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</w:rPr>
  </w:style>
  <w:style w:type="paragraph" w:customStyle="1" w:styleId="tabelatresctabela">
    <w:name w:val="tabela_tresc (tabela)"/>
    <w:basedOn w:val="NoParagraphStyle"/>
    <w:uiPriority w:val="99"/>
    <w:rsid w:val="001E0991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1E0991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1E0991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1E0991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1E0991"/>
    <w:pPr>
      <w:jc w:val="center"/>
    </w:pPr>
  </w:style>
  <w:style w:type="character" w:customStyle="1" w:styleId="dzial-B">
    <w:name w:val="dzial-B"/>
    <w:uiPriority w:val="99"/>
    <w:rsid w:val="001E0991"/>
    <w:rPr>
      <w:b/>
      <w:caps/>
    </w:rPr>
  </w:style>
  <w:style w:type="paragraph" w:customStyle="1" w:styleId="rozdzial">
    <w:name w:val="rozdzial"/>
    <w:basedOn w:val="NoParagraphStyle"/>
    <w:uiPriority w:val="99"/>
    <w:rsid w:val="001E0991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1E0991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1E099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1E0991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1E0991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1E099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9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9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991"/>
    <w:rPr>
      <w:rFonts w:eastAsiaTheme="minorEastAsia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E0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991"/>
    <w:rPr>
      <w:rFonts w:eastAsiaTheme="minorEastAsia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0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991"/>
    <w:rPr>
      <w:rFonts w:eastAsiaTheme="minorEastAsia" w:cs="Times New Roman"/>
      <w:sz w:val="24"/>
      <w:szCs w:val="24"/>
      <w:lang w:val="en-US"/>
    </w:rPr>
  </w:style>
  <w:style w:type="paragraph" w:customStyle="1" w:styleId="stopkaSc">
    <w:name w:val="stopka_Sc"/>
    <w:basedOn w:val="Stopka"/>
    <w:link w:val="stopkaScZnak"/>
    <w:qFormat/>
    <w:rsid w:val="001E0991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1E0991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1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1E0991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9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9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9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7217</Words>
  <Characters>43306</Characters>
  <Application>Microsoft Office Word</Application>
  <DocSecurity>0</DocSecurity>
  <Lines>360</Lines>
  <Paragraphs>100</Paragraphs>
  <ScaleCrop>false</ScaleCrop>
  <Company/>
  <LinksUpToDate>false</LinksUpToDate>
  <CharactersWithSpaces>50423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2019-11-14T09:55:00Z</dcterms:created>
  <dcterms:modified xsi:type="dcterms:W3CDTF">2019-11-14T09:55:00Z</dcterms:modified>
</cp:coreProperties>
</file>