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2A3C" w14:textId="3C009047" w:rsidR="009906B2" w:rsidRDefault="009906B2" w:rsidP="009906B2">
      <w:pPr>
        <w:spacing w:after="0" w:line="240" w:lineRule="auto"/>
        <w:jc w:val="center"/>
        <w:rPr>
          <w:rStyle w:val="d2edcug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d2edcug0"/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30649CD" wp14:editId="13EFDD00">
            <wp:extent cx="4605867" cy="2313248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702" cy="2333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58BDF" w14:textId="77777777" w:rsidR="009906B2" w:rsidRDefault="009906B2" w:rsidP="009906B2">
      <w:pPr>
        <w:spacing w:after="0" w:line="240" w:lineRule="auto"/>
        <w:jc w:val="center"/>
        <w:rPr>
          <w:rStyle w:val="d2edcug0"/>
          <w:rFonts w:ascii="Times New Roman" w:hAnsi="Times New Roman" w:cs="Times New Roman"/>
          <w:b/>
          <w:bCs/>
          <w:sz w:val="24"/>
          <w:szCs w:val="24"/>
        </w:rPr>
      </w:pPr>
    </w:p>
    <w:p w14:paraId="1CB0975B" w14:textId="77777777" w:rsidR="009906B2" w:rsidRDefault="009906B2" w:rsidP="009906B2">
      <w:pPr>
        <w:spacing w:after="0" w:line="240" w:lineRule="auto"/>
        <w:jc w:val="center"/>
        <w:rPr>
          <w:rStyle w:val="d2edcug0"/>
          <w:rFonts w:ascii="Times New Roman" w:hAnsi="Times New Roman" w:cs="Times New Roman"/>
          <w:b/>
          <w:bCs/>
          <w:sz w:val="24"/>
          <w:szCs w:val="24"/>
        </w:rPr>
      </w:pPr>
    </w:p>
    <w:p w14:paraId="5D649E56" w14:textId="05463525" w:rsidR="00E04C02" w:rsidRPr="007E226D" w:rsidRDefault="00482ED8" w:rsidP="009906B2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32"/>
          <w:szCs w:val="32"/>
          <w:lang w:eastAsia="pl-PL"/>
        </w:rPr>
      </w:pPr>
      <w:r w:rsidRPr="007E226D">
        <w:rPr>
          <w:rStyle w:val="d2edcug0"/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CZY JEST RÓŻNICA MIĘDZY </w:t>
      </w:r>
      <w:r w:rsidR="009906B2" w:rsidRPr="007E226D">
        <w:rPr>
          <w:rStyle w:val="d2edcug0"/>
          <w:rFonts w:ascii="Times New Roman" w:hAnsi="Times New Roman" w:cs="Times New Roman"/>
          <w:b/>
          <w:bCs/>
          <w:color w:val="0070C0"/>
          <w:sz w:val="32"/>
          <w:szCs w:val="32"/>
        </w:rPr>
        <w:br/>
      </w:r>
      <w:r w:rsidRPr="007E226D">
        <w:rPr>
          <w:rStyle w:val="d2edcug0"/>
          <w:rFonts w:ascii="Times New Roman" w:hAnsi="Times New Roman" w:cs="Times New Roman"/>
          <w:b/>
          <w:bCs/>
          <w:color w:val="0070C0"/>
          <w:sz w:val="32"/>
          <w:szCs w:val="32"/>
        </w:rPr>
        <w:t>„NALEŻY SPOŻYĆ DO”, A „NAJLEPIEJ SPOŻYĆ PRZED?</w:t>
      </w:r>
      <w:r w:rsidR="008A5BA4">
        <w:rPr>
          <w:rStyle w:val="d2edcug0"/>
          <w:rFonts w:ascii="Times New Roman" w:hAnsi="Times New Roman" w:cs="Times New Roman"/>
          <w:b/>
          <w:bCs/>
          <w:color w:val="0070C0"/>
          <w:sz w:val="32"/>
          <w:szCs w:val="32"/>
        </w:rPr>
        <w:t>”</w:t>
      </w:r>
    </w:p>
    <w:p w14:paraId="7F6A96E1" w14:textId="77777777" w:rsidR="00482ED8" w:rsidRPr="007E226D" w:rsidRDefault="00482ED8" w:rsidP="003B12D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pl-PL"/>
        </w:rPr>
      </w:pPr>
    </w:p>
    <w:p w14:paraId="050D3157" w14:textId="48444DD4" w:rsidR="003B12D3" w:rsidRPr="007E226D" w:rsidRDefault="0037210C" w:rsidP="003B1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24"/>
          <w:u w:val="single"/>
          <w:lang w:eastAsia="pl-PL"/>
        </w:rPr>
        <w:t>„</w:t>
      </w:r>
      <w:r w:rsidR="003B12D3" w:rsidRPr="007E226D"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24"/>
          <w:u w:val="single"/>
          <w:lang w:eastAsia="pl-PL"/>
        </w:rPr>
        <w:t>Najlepiej spożyć przed”</w:t>
      </w:r>
      <w:r w:rsidR="003B12D3"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 określa tak zwaną </w:t>
      </w:r>
      <w:r w:rsidR="003B12D3" w:rsidRPr="007E226D"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24"/>
          <w:lang w:eastAsia="pl-PL"/>
        </w:rPr>
        <w:t>datę minimalnej trwałości</w:t>
      </w:r>
      <w:r w:rsidR="003B12D3"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. Minimalnej, czyli nie ostatecznej. Ten termin stosowany jest w przypadku produktów, które nawet “po terminie” nie ulegają zepsuciu, a </w:t>
      </w:r>
      <w:r w:rsidR="003B12D3" w:rsidRPr="007E226D"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24"/>
          <w:lang w:eastAsia="pl-PL"/>
        </w:rPr>
        <w:t>jedynie może zmieniać się ich konsystencja, kolor, smak czy zapach</w:t>
      </w:r>
      <w:r w:rsidR="003B12D3"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. </w:t>
      </w:r>
    </w:p>
    <w:p w14:paraId="662A8BBA" w14:textId="77777777" w:rsidR="003B12D3" w:rsidRPr="007E226D" w:rsidRDefault="003B12D3" w:rsidP="003B1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>Do tej grupy zaliczają się między innymi produkty zbożowe:</w:t>
      </w:r>
    </w:p>
    <w:p w14:paraId="093F5676" w14:textId="77777777" w:rsidR="003B12D3" w:rsidRPr="007E226D" w:rsidRDefault="003B12D3" w:rsidP="003B12D3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 mąki, </w:t>
      </w:r>
    </w:p>
    <w:p w14:paraId="5DE491F5" w14:textId="77777777" w:rsidR="003B12D3" w:rsidRPr="007E226D" w:rsidRDefault="003B12D3" w:rsidP="003B12D3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makarony, </w:t>
      </w:r>
    </w:p>
    <w:p w14:paraId="24C03A79" w14:textId="77777777" w:rsidR="003B12D3" w:rsidRPr="007E226D" w:rsidRDefault="003B12D3" w:rsidP="003B12D3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kasze, </w:t>
      </w:r>
    </w:p>
    <w:p w14:paraId="7D8FFEF5" w14:textId="77777777" w:rsidR="003B12D3" w:rsidRPr="007E226D" w:rsidRDefault="003B12D3" w:rsidP="003B12D3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ryże, </w:t>
      </w:r>
    </w:p>
    <w:p w14:paraId="1834F664" w14:textId="77777777" w:rsidR="003B12D3" w:rsidRPr="007E226D" w:rsidRDefault="003B12D3" w:rsidP="003B1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>również</w:t>
      </w:r>
    </w:p>
    <w:p w14:paraId="42DD17B2" w14:textId="77777777" w:rsidR="003B12D3" w:rsidRPr="007E226D" w:rsidRDefault="003B12D3" w:rsidP="003B12D3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kawa, </w:t>
      </w:r>
    </w:p>
    <w:p w14:paraId="36E2D870" w14:textId="77777777" w:rsidR="003B12D3" w:rsidRPr="007E226D" w:rsidRDefault="003B12D3" w:rsidP="003B12D3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herbata, </w:t>
      </w:r>
    </w:p>
    <w:p w14:paraId="3796132F" w14:textId="77777777" w:rsidR="003B12D3" w:rsidRPr="007E226D" w:rsidRDefault="003B12D3" w:rsidP="003B12D3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część słodyczy, </w:t>
      </w:r>
    </w:p>
    <w:p w14:paraId="136ACB64" w14:textId="77777777" w:rsidR="003B12D3" w:rsidRPr="007E226D" w:rsidRDefault="003B12D3" w:rsidP="003B12D3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>niektóre przyprawy, takie jak cukier (w postaci sypkiej),</w:t>
      </w:r>
    </w:p>
    <w:p w14:paraId="03098297" w14:textId="2DB4B2EF" w:rsidR="003B12D3" w:rsidRPr="007E226D" w:rsidRDefault="003B12D3" w:rsidP="003B12D3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 sól;</w:t>
      </w:r>
    </w:p>
    <w:p w14:paraId="5536B792" w14:textId="618AFC4F" w:rsidR="00AC1B0C" w:rsidRPr="007E226D" w:rsidRDefault="003B12D3" w:rsidP="003B12D3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7E226D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pl-PL"/>
        </w:rPr>
        <w:t xml:space="preserve"> wysokoprocentowe alkohole.</w:t>
      </w:r>
    </w:p>
    <w:p w14:paraId="6D6A11B2" w14:textId="77777777" w:rsidR="003B12D3" w:rsidRPr="007E226D" w:rsidRDefault="003B12D3" w:rsidP="003B12D3">
      <w:pPr>
        <w:pStyle w:val="NormalnyWeb"/>
        <w:spacing w:before="0" w:beforeAutospacing="0" w:after="0" w:afterAutospacing="0"/>
        <w:jc w:val="both"/>
        <w:rPr>
          <w:color w:val="002060"/>
        </w:rPr>
      </w:pPr>
      <w:r w:rsidRPr="007E226D">
        <w:rPr>
          <w:rFonts w:eastAsia="+mn-ea"/>
          <w:b/>
          <w:bCs/>
          <w:color w:val="002060"/>
          <w:kern w:val="24"/>
          <w:u w:val="single"/>
        </w:rPr>
        <w:t>“Należy spożyć do”</w:t>
      </w:r>
      <w:r w:rsidRPr="007E226D">
        <w:rPr>
          <w:rFonts w:eastAsia="+mn-ea"/>
          <w:color w:val="002060"/>
          <w:kern w:val="24"/>
        </w:rPr>
        <w:t xml:space="preserve"> oznacza </w:t>
      </w:r>
      <w:r w:rsidRPr="007E226D">
        <w:rPr>
          <w:rFonts w:eastAsia="+mn-ea"/>
          <w:b/>
          <w:bCs/>
          <w:color w:val="002060"/>
          <w:kern w:val="24"/>
        </w:rPr>
        <w:t>termin przydatności do spożycia</w:t>
      </w:r>
      <w:r w:rsidRPr="007E226D">
        <w:rPr>
          <w:rFonts w:eastAsia="+mn-ea"/>
          <w:color w:val="002060"/>
          <w:kern w:val="24"/>
        </w:rPr>
        <w:t xml:space="preserve">, po upływie którego zjedzenie produktu może powodować </w:t>
      </w:r>
      <w:r w:rsidRPr="007E226D">
        <w:rPr>
          <w:rFonts w:eastAsia="+mn-ea"/>
          <w:b/>
          <w:bCs/>
          <w:color w:val="002060"/>
          <w:kern w:val="24"/>
        </w:rPr>
        <w:t>groźne konsekwencje zdrowotne</w:t>
      </w:r>
      <w:r w:rsidRPr="007E226D">
        <w:rPr>
          <w:rFonts w:eastAsia="+mn-ea"/>
          <w:color w:val="002060"/>
          <w:kern w:val="24"/>
        </w:rPr>
        <w:t xml:space="preserve">. Sformułowanie to dotyczy najczęściej świeżych produktów, takich jak: </w:t>
      </w:r>
    </w:p>
    <w:p w14:paraId="1935BFF2" w14:textId="77777777" w:rsidR="003B12D3" w:rsidRPr="007E226D" w:rsidRDefault="003B12D3" w:rsidP="003B12D3">
      <w:pPr>
        <w:pStyle w:val="Akapitzlist"/>
        <w:numPr>
          <w:ilvl w:val="0"/>
          <w:numId w:val="3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 xml:space="preserve">mięso, </w:t>
      </w:r>
    </w:p>
    <w:p w14:paraId="3E115824" w14:textId="77777777" w:rsidR="003B12D3" w:rsidRPr="007E226D" w:rsidRDefault="003B12D3" w:rsidP="003B12D3">
      <w:pPr>
        <w:pStyle w:val="Akapitzlist"/>
        <w:numPr>
          <w:ilvl w:val="0"/>
          <w:numId w:val="3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 xml:space="preserve">ryby, </w:t>
      </w:r>
    </w:p>
    <w:p w14:paraId="3A6F43E1" w14:textId="77777777" w:rsidR="003B12D3" w:rsidRPr="007E226D" w:rsidRDefault="003B12D3" w:rsidP="003B12D3">
      <w:pPr>
        <w:pStyle w:val="Akapitzlist"/>
        <w:numPr>
          <w:ilvl w:val="0"/>
          <w:numId w:val="3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soki niepasteryzowane</w:t>
      </w:r>
    </w:p>
    <w:p w14:paraId="598BF0AB" w14:textId="77777777" w:rsidR="003B12D3" w:rsidRPr="007E226D" w:rsidRDefault="003B12D3" w:rsidP="003B12D3">
      <w:pPr>
        <w:pStyle w:val="Akapitzlist"/>
        <w:numPr>
          <w:ilvl w:val="0"/>
          <w:numId w:val="3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produkty mleczne</w:t>
      </w:r>
    </w:p>
    <w:p w14:paraId="689CB978" w14:textId="77777777" w:rsidR="003B12D3" w:rsidRPr="007E226D" w:rsidRDefault="003B12D3" w:rsidP="003B12D3">
      <w:pPr>
        <w:pStyle w:val="Akapitzlist"/>
        <w:numPr>
          <w:ilvl w:val="0"/>
          <w:numId w:val="3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 xml:space="preserve">wyroby garmażeryjne. </w:t>
      </w:r>
    </w:p>
    <w:p w14:paraId="5F841944" w14:textId="77777777" w:rsidR="003B12D3" w:rsidRPr="007E226D" w:rsidRDefault="003B12D3" w:rsidP="003B12D3">
      <w:pPr>
        <w:pStyle w:val="NormalnyWeb"/>
        <w:spacing w:before="0" w:beforeAutospacing="0" w:after="0" w:afterAutospacing="0"/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 xml:space="preserve">Ze względu na brak lub nieznaczną ilość substancji konserwujących, żywność ta ma krótką ważność, której należy bezwzględnie przestrzegać. </w:t>
      </w:r>
    </w:p>
    <w:p w14:paraId="69CA3C63" w14:textId="77777777" w:rsidR="003B12D3" w:rsidRPr="007E226D" w:rsidRDefault="003B12D3" w:rsidP="003B12D3">
      <w:pPr>
        <w:pStyle w:val="NormalnyWeb"/>
        <w:spacing w:before="0" w:beforeAutospacing="0" w:after="0" w:afterAutospacing="0"/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 xml:space="preserve">Powinna być ona </w:t>
      </w:r>
      <w:r w:rsidRPr="007E226D">
        <w:rPr>
          <w:rFonts w:eastAsia="+mn-ea"/>
          <w:b/>
          <w:bCs/>
          <w:color w:val="002060"/>
          <w:kern w:val="24"/>
        </w:rPr>
        <w:t>spożyta najpóźniej w dniu upływu terminu ważności!!!</w:t>
      </w:r>
      <w:r w:rsidRPr="007E226D">
        <w:rPr>
          <w:rFonts w:eastAsia="+mn-ea"/>
          <w:color w:val="002060"/>
          <w:kern w:val="24"/>
        </w:rPr>
        <w:t xml:space="preserve"> </w:t>
      </w:r>
    </w:p>
    <w:p w14:paraId="2BFE556A" w14:textId="017D58A3" w:rsidR="003B12D3" w:rsidRPr="007E226D" w:rsidRDefault="003B12D3" w:rsidP="001C74C9">
      <w:pPr>
        <w:pStyle w:val="NormalnyWeb"/>
        <w:spacing w:before="0" w:beforeAutospacing="0" w:after="0" w:afterAutospacing="0"/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Spożycie pokarmów po dacie ważności może do</w:t>
      </w:r>
      <w:r w:rsidR="00EB2B0F" w:rsidRPr="007E226D">
        <w:rPr>
          <w:rFonts w:eastAsia="+mn-ea"/>
          <w:color w:val="002060"/>
          <w:kern w:val="24"/>
        </w:rPr>
        <w:t>prowadzić</w:t>
      </w:r>
      <w:r w:rsidRPr="007E226D">
        <w:rPr>
          <w:rFonts w:eastAsia="+mn-ea"/>
          <w:color w:val="002060"/>
          <w:kern w:val="24"/>
        </w:rPr>
        <w:t xml:space="preserve"> do </w:t>
      </w:r>
      <w:r w:rsidRPr="007E226D">
        <w:rPr>
          <w:rFonts w:eastAsia="+mn-ea"/>
          <w:b/>
          <w:bCs/>
          <w:color w:val="002060"/>
          <w:kern w:val="24"/>
        </w:rPr>
        <w:t>niebezpiecznych zatruć pokarmowych</w:t>
      </w:r>
      <w:r w:rsidRPr="007E226D">
        <w:rPr>
          <w:rFonts w:eastAsia="+mn-ea"/>
          <w:color w:val="002060"/>
          <w:kern w:val="24"/>
        </w:rPr>
        <w:t xml:space="preserve">, które objawią się </w:t>
      </w:r>
      <w:r w:rsidRPr="007E226D">
        <w:rPr>
          <w:rFonts w:eastAsia="+mn-ea"/>
          <w:b/>
          <w:bCs/>
          <w:color w:val="002060"/>
          <w:kern w:val="24"/>
        </w:rPr>
        <w:t>silnymi bólami brzucha, a nawet wymiotami i biegunką</w:t>
      </w:r>
      <w:r w:rsidRPr="007E226D">
        <w:rPr>
          <w:rFonts w:eastAsia="+mn-ea"/>
          <w:color w:val="002060"/>
          <w:kern w:val="24"/>
        </w:rPr>
        <w:t xml:space="preserve"> chorobotwórczych bakterii, przez spożycie których może okazać się konieczne odwiedzenie szpitala.</w:t>
      </w:r>
      <w:r w:rsidR="00E04C02" w:rsidRPr="007E226D">
        <w:rPr>
          <w:rFonts w:eastAsia="+mn-ea"/>
          <w:color w:val="002060"/>
          <w:kern w:val="24"/>
        </w:rPr>
        <w:br/>
      </w:r>
      <w:r w:rsidRPr="007E226D">
        <w:rPr>
          <w:rFonts w:eastAsia="+mn-ea"/>
          <w:color w:val="002060"/>
          <w:kern w:val="24"/>
        </w:rPr>
        <w:t xml:space="preserve"> </w:t>
      </w:r>
      <w:r w:rsidR="001C74C9" w:rsidRPr="007E226D">
        <w:rPr>
          <w:rFonts w:eastAsia="+mn-ea"/>
          <w:color w:val="002060"/>
          <w:kern w:val="24"/>
        </w:rPr>
        <w:br/>
      </w:r>
      <w:r w:rsidR="007E226D" w:rsidRPr="007E226D">
        <w:rPr>
          <w:rFonts w:eastAsia="+mj-ea"/>
          <w:b/>
          <w:bCs/>
          <w:color w:val="002060"/>
          <w:kern w:val="24"/>
        </w:rPr>
        <w:lastRenderedPageBreak/>
        <w:br/>
      </w:r>
      <w:r w:rsidRPr="007E226D">
        <w:rPr>
          <w:rFonts w:eastAsia="+mj-ea"/>
          <w:b/>
          <w:bCs/>
          <w:color w:val="002060"/>
          <w:kern w:val="24"/>
        </w:rPr>
        <w:t>Datę minimalnej trwałości można zamieścić w następujący sposób:</w:t>
      </w:r>
    </w:p>
    <w:p w14:paraId="0B926DB6" w14:textId="77777777" w:rsidR="003B12D3" w:rsidRPr="007E226D" w:rsidRDefault="003B12D3" w:rsidP="003B12D3">
      <w:pPr>
        <w:pStyle w:val="Akapitzlist"/>
        <w:numPr>
          <w:ilvl w:val="0"/>
          <w:numId w:val="4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Poprzedzoną sformułowaniem: „Najlepiej spożyć przed…”, gdy data zawiera oznaczenie dnia (</w:t>
      </w:r>
      <w:proofErr w:type="spellStart"/>
      <w:r w:rsidRPr="007E226D">
        <w:rPr>
          <w:rFonts w:eastAsia="+mn-ea"/>
          <w:color w:val="002060"/>
          <w:kern w:val="24"/>
        </w:rPr>
        <w:t>dd.mm.rr</w:t>
      </w:r>
      <w:proofErr w:type="spellEnd"/>
      <w:r w:rsidRPr="007E226D">
        <w:rPr>
          <w:rFonts w:eastAsia="+mn-ea"/>
          <w:color w:val="002060"/>
          <w:kern w:val="24"/>
        </w:rPr>
        <w:t xml:space="preserve"> lub dd.mm),</w:t>
      </w:r>
    </w:p>
    <w:p w14:paraId="0B87A015" w14:textId="47C10466" w:rsidR="003B12D3" w:rsidRPr="007E226D" w:rsidRDefault="003B12D3" w:rsidP="003B12D3">
      <w:pPr>
        <w:pStyle w:val="Akapitzlist"/>
        <w:numPr>
          <w:ilvl w:val="0"/>
          <w:numId w:val="4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W formie: „Najle</w:t>
      </w:r>
      <w:r w:rsidRPr="007E226D">
        <w:rPr>
          <w:rFonts w:eastAsia="+mn-ea"/>
          <w:color w:val="002060"/>
          <w:kern w:val="24"/>
        </w:rPr>
        <w:softHyphen/>
        <w:t>piej spożyć przed końcem…” (</w:t>
      </w:r>
      <w:proofErr w:type="spellStart"/>
      <w:r w:rsidRPr="007E226D">
        <w:rPr>
          <w:rFonts w:eastAsia="+mn-ea"/>
          <w:color w:val="002060"/>
          <w:kern w:val="24"/>
        </w:rPr>
        <w:t>mm.rr</w:t>
      </w:r>
      <w:proofErr w:type="spellEnd"/>
      <w:r w:rsidRPr="007E226D">
        <w:rPr>
          <w:rFonts w:eastAsia="+mn-ea"/>
          <w:color w:val="002060"/>
          <w:kern w:val="24"/>
        </w:rPr>
        <w:t xml:space="preserve"> lub </w:t>
      </w:r>
      <w:proofErr w:type="spellStart"/>
      <w:r w:rsidRPr="007E226D">
        <w:rPr>
          <w:rFonts w:eastAsia="+mn-ea"/>
          <w:color w:val="002060"/>
          <w:kern w:val="24"/>
        </w:rPr>
        <w:t>rr</w:t>
      </w:r>
      <w:proofErr w:type="spellEnd"/>
      <w:r w:rsidRPr="007E226D">
        <w:rPr>
          <w:rFonts w:eastAsia="+mn-ea"/>
          <w:color w:val="002060"/>
          <w:kern w:val="24"/>
        </w:rPr>
        <w:t>).</w:t>
      </w:r>
    </w:p>
    <w:p w14:paraId="6D150B9C" w14:textId="77777777" w:rsidR="003B12D3" w:rsidRPr="007E226D" w:rsidRDefault="003B12D3" w:rsidP="003B12D3">
      <w:pPr>
        <w:pStyle w:val="NormalnyWeb"/>
        <w:spacing w:before="0" w:beforeAutospacing="0" w:after="0" w:afterAutospacing="0"/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Po ww. sformułowaniach należy umieścić samą datę, np. 12.09.2020, albo odesłanie do miejsca, gdzie data jest podana na etykiecie, np.: „Data podana z boku opakowania” lub „Data podana na klipsie”.</w:t>
      </w:r>
    </w:p>
    <w:p w14:paraId="5D841A2B" w14:textId="77777777" w:rsidR="003B12D3" w:rsidRPr="007E226D" w:rsidRDefault="003B12D3" w:rsidP="003B12D3">
      <w:pPr>
        <w:pStyle w:val="NormalnyWeb"/>
        <w:spacing w:before="0" w:beforeAutospacing="0" w:after="0" w:afterAutospacing="0"/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To, co podamy w oznaczeniu daty (dzień, miesiąc czy tylko rok) zależy od długości okresu trwałości środka spożywczego.</w:t>
      </w:r>
    </w:p>
    <w:p w14:paraId="2FECC4BB" w14:textId="77777777" w:rsidR="003B12D3" w:rsidRPr="007E226D" w:rsidRDefault="003B12D3" w:rsidP="003B12D3">
      <w:pPr>
        <w:pStyle w:val="Akapitzlist"/>
        <w:numPr>
          <w:ilvl w:val="0"/>
          <w:numId w:val="5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W przypadku środków spożyw</w:t>
      </w:r>
      <w:r w:rsidRPr="007E226D">
        <w:rPr>
          <w:rFonts w:eastAsia="+mn-ea"/>
          <w:color w:val="002060"/>
          <w:kern w:val="24"/>
        </w:rPr>
        <w:softHyphen/>
        <w:t>czych, których trwałość nie przekracza 3 miesięcy, podana data może składać się z dnia i miesiąca.</w:t>
      </w:r>
    </w:p>
    <w:p w14:paraId="2943FCFF" w14:textId="60812331" w:rsidR="003B12D3" w:rsidRPr="007E226D" w:rsidRDefault="003B12D3" w:rsidP="003B12D3">
      <w:pPr>
        <w:pStyle w:val="Akapitzlist"/>
        <w:numPr>
          <w:ilvl w:val="0"/>
          <w:numId w:val="5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 xml:space="preserve">W przypadku produktów, których trwałość przekracza 3 miesiące, lecz nie przekracza </w:t>
      </w:r>
      <w:r w:rsidR="00EB2B0F" w:rsidRPr="007E226D">
        <w:rPr>
          <w:rFonts w:eastAsia="+mn-ea"/>
          <w:color w:val="002060"/>
          <w:kern w:val="24"/>
        </w:rPr>
        <w:br/>
      </w:r>
      <w:r w:rsidRPr="007E226D">
        <w:rPr>
          <w:rFonts w:eastAsia="+mn-ea"/>
          <w:color w:val="002060"/>
          <w:kern w:val="24"/>
        </w:rPr>
        <w:t>18 miesięcy, wystar</w:t>
      </w:r>
      <w:r w:rsidRPr="007E226D">
        <w:rPr>
          <w:rFonts w:eastAsia="+mn-ea"/>
          <w:color w:val="002060"/>
          <w:kern w:val="24"/>
        </w:rPr>
        <w:softHyphen/>
        <w:t>czy oznaczenie miesiąca i roku.</w:t>
      </w:r>
    </w:p>
    <w:p w14:paraId="304D8BEB" w14:textId="77777777" w:rsidR="003B12D3" w:rsidRPr="007E226D" w:rsidRDefault="003B12D3" w:rsidP="003B12D3">
      <w:pPr>
        <w:pStyle w:val="Akapitzlist"/>
        <w:numPr>
          <w:ilvl w:val="0"/>
          <w:numId w:val="5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W przypadku produktów, których trwałość przekracza 18 miesięcy, wystarczy oznaczenie roku.</w:t>
      </w:r>
    </w:p>
    <w:p w14:paraId="389CE295" w14:textId="57A39186" w:rsidR="003B12D3" w:rsidRPr="007E226D" w:rsidRDefault="003B12D3" w:rsidP="007E226D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E226D">
        <w:rPr>
          <w:rFonts w:ascii="Times New Roman" w:hAnsi="Times New Roman" w:cs="Times New Roman"/>
          <w:b/>
          <w:bCs/>
          <w:color w:val="002060"/>
          <w:sz w:val="24"/>
          <w:szCs w:val="24"/>
        </w:rPr>
        <w:t>Termin przydatności do spożycia umieszcza się w następujący sposób:</w:t>
      </w:r>
      <w:r w:rsidR="007E226D" w:rsidRPr="007E226D">
        <w:rPr>
          <w:rFonts w:ascii="Times New Roman" w:hAnsi="Times New Roman" w:cs="Times New Roman"/>
          <w:b/>
          <w:bCs/>
          <w:color w:val="002060"/>
          <w:sz w:val="24"/>
          <w:szCs w:val="24"/>
        </w:rPr>
        <w:br/>
      </w:r>
      <w:r w:rsidRPr="007E226D">
        <w:rPr>
          <w:rFonts w:ascii="Times New Roman" w:eastAsia="+mn-ea" w:hAnsi="Times New Roman" w:cs="Times New Roman"/>
          <w:color w:val="002060"/>
          <w:kern w:val="24"/>
        </w:rPr>
        <w:t>Termin przydatności do spożycia poprze</w:t>
      </w:r>
      <w:r w:rsidRPr="007E226D">
        <w:rPr>
          <w:rFonts w:ascii="Times New Roman" w:eastAsia="+mn-ea" w:hAnsi="Times New Roman" w:cs="Times New Roman"/>
          <w:color w:val="002060"/>
          <w:kern w:val="24"/>
        </w:rPr>
        <w:softHyphen/>
        <w:t>dza się sformułowaniem: „Należy spożyć do …”, po czym podana jest data lub nastę</w:t>
      </w:r>
      <w:r w:rsidRPr="007E226D">
        <w:rPr>
          <w:rFonts w:ascii="Times New Roman" w:eastAsia="+mn-ea" w:hAnsi="Times New Roman" w:cs="Times New Roman"/>
          <w:color w:val="002060"/>
          <w:kern w:val="24"/>
        </w:rPr>
        <w:softHyphen/>
        <w:t>puje odesłanie do miejsca, w którym podana jest ta data. Data składa się z dnia i miesiąca, może też być podany rok.</w:t>
      </w:r>
    </w:p>
    <w:p w14:paraId="75AD50CE" w14:textId="356AE287" w:rsidR="003B12D3" w:rsidRPr="007E226D" w:rsidRDefault="003B12D3" w:rsidP="003B12D3">
      <w:pPr>
        <w:pStyle w:val="NormalnyWeb"/>
        <w:spacing w:before="0" w:beforeAutospacing="0" w:after="0" w:afterAutospacing="0"/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Po tych informa</w:t>
      </w:r>
      <w:r w:rsidRPr="007E226D">
        <w:rPr>
          <w:rFonts w:eastAsia="+mn-ea"/>
          <w:color w:val="002060"/>
          <w:kern w:val="24"/>
        </w:rPr>
        <w:softHyphen/>
        <w:t>cjach należy podać opis warunków przecho</w:t>
      </w:r>
      <w:r w:rsidRPr="007E226D">
        <w:rPr>
          <w:rFonts w:eastAsia="+mn-ea"/>
          <w:color w:val="002060"/>
          <w:kern w:val="24"/>
        </w:rPr>
        <w:softHyphen/>
        <w:t>wywania, które muszą być przestrzegane. Informację o terminie przydatności do spo</w:t>
      </w:r>
      <w:r w:rsidRPr="007E226D">
        <w:rPr>
          <w:rFonts w:eastAsia="+mn-ea"/>
          <w:color w:val="002060"/>
          <w:kern w:val="24"/>
        </w:rPr>
        <w:softHyphen/>
        <w:t xml:space="preserve">życia należy zamieszczać na każdej </w:t>
      </w:r>
      <w:r w:rsidR="00EB2B0F" w:rsidRPr="007E226D">
        <w:rPr>
          <w:rFonts w:eastAsia="+mn-ea"/>
          <w:color w:val="002060"/>
          <w:kern w:val="24"/>
        </w:rPr>
        <w:br/>
      </w:r>
      <w:r w:rsidRPr="007E226D">
        <w:rPr>
          <w:rFonts w:eastAsia="+mn-ea"/>
          <w:color w:val="002060"/>
          <w:kern w:val="24"/>
        </w:rPr>
        <w:t>z zapa</w:t>
      </w:r>
      <w:r w:rsidRPr="007E226D">
        <w:rPr>
          <w:rFonts w:eastAsia="+mn-ea"/>
          <w:color w:val="002060"/>
          <w:kern w:val="24"/>
        </w:rPr>
        <w:softHyphen/>
        <w:t>kowanych porcji.</w:t>
      </w:r>
    </w:p>
    <w:p w14:paraId="7525BF20" w14:textId="77777777" w:rsidR="003B12D3" w:rsidRPr="007E226D" w:rsidRDefault="003B12D3" w:rsidP="003B12D3">
      <w:pPr>
        <w:pStyle w:val="NormalnyWeb"/>
        <w:spacing w:before="0" w:beforeAutospacing="0" w:after="0" w:afterAutospacing="0"/>
        <w:jc w:val="both"/>
        <w:rPr>
          <w:color w:val="002060"/>
        </w:rPr>
      </w:pPr>
      <w:r w:rsidRPr="007E226D">
        <w:rPr>
          <w:rFonts w:eastAsia="+mn-ea"/>
          <w:b/>
          <w:bCs/>
          <w:color w:val="002060"/>
          <w:kern w:val="24"/>
        </w:rPr>
        <w:t>Co wpływa na termin przydatności do spożycia?</w:t>
      </w:r>
    </w:p>
    <w:p w14:paraId="06F9CD9D" w14:textId="77777777" w:rsidR="003B12D3" w:rsidRPr="007E226D" w:rsidRDefault="003B12D3" w:rsidP="003B12D3">
      <w:pPr>
        <w:pStyle w:val="NormalnyWeb"/>
        <w:spacing w:before="0" w:beforeAutospacing="0" w:after="0" w:afterAutospacing="0"/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 xml:space="preserve">Uważa się, że na to jak długo dany produkt będzie nadawał się do spożycia wpływ ma kilka czynników: </w:t>
      </w:r>
    </w:p>
    <w:p w14:paraId="3851A2CD" w14:textId="77777777" w:rsidR="003B12D3" w:rsidRPr="007E226D" w:rsidRDefault="003B12D3" w:rsidP="003B12D3">
      <w:pPr>
        <w:pStyle w:val="Akapitzlist"/>
        <w:numPr>
          <w:ilvl w:val="0"/>
          <w:numId w:val="6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prawidłowe przechowywanie;</w:t>
      </w:r>
    </w:p>
    <w:p w14:paraId="2EDF771A" w14:textId="77777777" w:rsidR="003B12D3" w:rsidRPr="007E226D" w:rsidRDefault="003B12D3" w:rsidP="003B12D3">
      <w:pPr>
        <w:pStyle w:val="Akapitzlist"/>
        <w:numPr>
          <w:ilvl w:val="0"/>
          <w:numId w:val="6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>opakowanie – ryż przechowywany w plastikowej torebce będzie dłużej zdatny do użytku niż ten sam ryż przechowywany w papierze</w:t>
      </w:r>
    </w:p>
    <w:p w14:paraId="4DE8F81C" w14:textId="2FAC696A" w:rsidR="003B12D3" w:rsidRPr="007E226D" w:rsidRDefault="003B12D3" w:rsidP="003B12D3">
      <w:pPr>
        <w:pStyle w:val="Akapitzlist"/>
        <w:numPr>
          <w:ilvl w:val="0"/>
          <w:numId w:val="6"/>
        </w:numPr>
        <w:jc w:val="both"/>
        <w:rPr>
          <w:color w:val="002060"/>
        </w:rPr>
      </w:pPr>
      <w:r w:rsidRPr="007E226D">
        <w:rPr>
          <w:rFonts w:eastAsia="+mn-ea"/>
          <w:color w:val="002060"/>
          <w:kern w:val="24"/>
        </w:rPr>
        <w:t xml:space="preserve">użyta substancja konserwująca: sól (np. w </w:t>
      </w:r>
      <w:hyperlink r:id="rId6" w:history="1">
        <w:r w:rsidRPr="007E226D">
          <w:rPr>
            <w:rStyle w:val="Hipercze"/>
            <w:rFonts w:eastAsia="+mn-ea"/>
            <w:color w:val="002060"/>
            <w:kern w:val="24"/>
          </w:rPr>
          <w:t>kiszonych ogórkach</w:t>
        </w:r>
      </w:hyperlink>
      <w:r w:rsidRPr="007E226D">
        <w:rPr>
          <w:rFonts w:eastAsia="+mn-ea"/>
          <w:color w:val="002060"/>
          <w:kern w:val="24"/>
        </w:rPr>
        <w:t>) lub cukru (w dżemach)</w:t>
      </w:r>
      <w:r w:rsidR="00FC4D85" w:rsidRPr="007E226D">
        <w:rPr>
          <w:rFonts w:eastAsia="+mn-ea"/>
          <w:color w:val="002060"/>
          <w:kern w:val="24"/>
        </w:rPr>
        <w:t>.</w:t>
      </w:r>
    </w:p>
    <w:p w14:paraId="0454CD32" w14:textId="39A47064" w:rsidR="00FC4D85" w:rsidRPr="007E226D" w:rsidRDefault="00FC4D85" w:rsidP="00FC4D85">
      <w:pPr>
        <w:jc w:val="both"/>
        <w:rPr>
          <w:rFonts w:ascii="Times New Roman" w:hAnsi="Times New Roman" w:cs="Times New Roman"/>
        </w:rPr>
      </w:pPr>
    </w:p>
    <w:p w14:paraId="3B7E3B74" w14:textId="77777777" w:rsidR="007E226D" w:rsidRDefault="007E226D" w:rsidP="00FC4D8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E75D289" w14:textId="77777777" w:rsidR="007E226D" w:rsidRDefault="007E226D" w:rsidP="00FC4D8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5FA5967" w14:textId="7462DFC8" w:rsidR="00FC4D85" w:rsidRPr="009906B2" w:rsidRDefault="007E226D" w:rsidP="00FC4D8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FC4D85" w:rsidRPr="009906B2">
        <w:rPr>
          <w:rFonts w:ascii="Times New Roman" w:hAnsi="Times New Roman" w:cs="Times New Roman"/>
          <w:i/>
          <w:iCs/>
          <w:sz w:val="20"/>
          <w:szCs w:val="20"/>
        </w:rPr>
        <w:t xml:space="preserve">pracowała mgr inż. Katarzyna Tyrańska – starszy asystent ds.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FC4D85" w:rsidRPr="009906B2">
        <w:rPr>
          <w:rFonts w:ascii="Times New Roman" w:hAnsi="Times New Roman" w:cs="Times New Roman"/>
          <w:i/>
          <w:iCs/>
          <w:sz w:val="20"/>
          <w:szCs w:val="20"/>
        </w:rPr>
        <w:t xml:space="preserve">igieny </w:t>
      </w:r>
      <w:r>
        <w:rPr>
          <w:rFonts w:ascii="Times New Roman" w:hAnsi="Times New Roman" w:cs="Times New Roman"/>
          <w:i/>
          <w:iCs/>
          <w:sz w:val="20"/>
          <w:szCs w:val="20"/>
        </w:rPr>
        <w:t>Ż</w:t>
      </w:r>
      <w:r w:rsidR="00FC4D85" w:rsidRPr="009906B2">
        <w:rPr>
          <w:rFonts w:ascii="Times New Roman" w:hAnsi="Times New Roman" w:cs="Times New Roman"/>
          <w:i/>
          <w:iCs/>
          <w:sz w:val="20"/>
          <w:szCs w:val="20"/>
        </w:rPr>
        <w:t xml:space="preserve">ywienia i </w:t>
      </w:r>
      <w:r>
        <w:rPr>
          <w:rFonts w:ascii="Times New Roman" w:hAnsi="Times New Roman" w:cs="Times New Roman"/>
          <w:i/>
          <w:iCs/>
          <w:sz w:val="20"/>
          <w:szCs w:val="20"/>
        </w:rPr>
        <w:t>Ż</w:t>
      </w:r>
      <w:r w:rsidR="00FC4D85" w:rsidRPr="009906B2">
        <w:rPr>
          <w:rFonts w:ascii="Times New Roman" w:hAnsi="Times New Roman" w:cs="Times New Roman"/>
          <w:i/>
          <w:iCs/>
          <w:sz w:val="20"/>
          <w:szCs w:val="20"/>
        </w:rPr>
        <w:t>ywności PSSE w Słupcy</w:t>
      </w:r>
    </w:p>
    <w:p w14:paraId="7FB194B4" w14:textId="77777777" w:rsidR="00FC4D85" w:rsidRPr="009906B2" w:rsidRDefault="00FC4D85" w:rsidP="00FC4D85">
      <w:pPr>
        <w:pStyle w:val="Akapitzlist"/>
        <w:jc w:val="both"/>
        <w:rPr>
          <w:sz w:val="20"/>
          <w:szCs w:val="20"/>
        </w:rPr>
      </w:pPr>
    </w:p>
    <w:p w14:paraId="1984391A" w14:textId="77777777" w:rsidR="003B12D3" w:rsidRPr="009906B2" w:rsidRDefault="003B12D3" w:rsidP="003B12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7135CD" w14:textId="5F7B19B5" w:rsidR="003B12D3" w:rsidRPr="009906B2" w:rsidRDefault="003B12D3" w:rsidP="003B12D3">
      <w:pPr>
        <w:rPr>
          <w:rFonts w:ascii="Times New Roman" w:hAnsi="Times New Roman" w:cs="Times New Roman"/>
          <w:sz w:val="20"/>
          <w:szCs w:val="20"/>
        </w:rPr>
      </w:pPr>
    </w:p>
    <w:sectPr w:rsidR="003B12D3" w:rsidRPr="009906B2" w:rsidSect="007E226D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34F8"/>
    <w:multiLevelType w:val="hybridMultilevel"/>
    <w:tmpl w:val="78C49728"/>
    <w:lvl w:ilvl="0" w:tplc="6C0C9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BAC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43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25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C9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EE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C5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E1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6F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67625"/>
    <w:multiLevelType w:val="hybridMultilevel"/>
    <w:tmpl w:val="76AE4BDE"/>
    <w:lvl w:ilvl="0" w:tplc="1706A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27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E6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0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2C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E9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2E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45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CB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CC6B14"/>
    <w:multiLevelType w:val="hybridMultilevel"/>
    <w:tmpl w:val="705E4356"/>
    <w:lvl w:ilvl="0" w:tplc="A7948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6E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CF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E4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CD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0F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6E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62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6D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C83440"/>
    <w:multiLevelType w:val="hybridMultilevel"/>
    <w:tmpl w:val="519C5C5A"/>
    <w:lvl w:ilvl="0" w:tplc="84DA3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E9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0A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8D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4B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4C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A2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7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40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497D5F"/>
    <w:multiLevelType w:val="hybridMultilevel"/>
    <w:tmpl w:val="D2246A30"/>
    <w:lvl w:ilvl="0" w:tplc="26E20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06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8C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2B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45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01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69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A9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AE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D71C3"/>
    <w:multiLevelType w:val="hybridMultilevel"/>
    <w:tmpl w:val="3244E1A8"/>
    <w:lvl w:ilvl="0" w:tplc="9FC48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29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C3D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A8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A82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0DF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C61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84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66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D3"/>
    <w:rsid w:val="001C74C9"/>
    <w:rsid w:val="0037210C"/>
    <w:rsid w:val="003B12D3"/>
    <w:rsid w:val="00482ED8"/>
    <w:rsid w:val="007E226D"/>
    <w:rsid w:val="008A5BA4"/>
    <w:rsid w:val="009906B2"/>
    <w:rsid w:val="009E3EE9"/>
    <w:rsid w:val="00AC1B0C"/>
    <w:rsid w:val="00E04C02"/>
    <w:rsid w:val="00EB2B0F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5A72"/>
  <w15:chartTrackingRefBased/>
  <w15:docId w15:val="{D1A2E91E-E1DC-41C6-AC3E-22506F31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1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12D3"/>
    <w:rPr>
      <w:color w:val="0000FF"/>
      <w:u w:val="single"/>
    </w:rPr>
  </w:style>
  <w:style w:type="character" w:customStyle="1" w:styleId="d2edcug0">
    <w:name w:val="d2edcug0"/>
    <w:basedOn w:val="Domylnaczcionkaakapitu"/>
    <w:rsid w:val="0048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6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jadam.pl/przetwory/ogorki-kiszo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Jasiński</dc:creator>
  <cp:keywords/>
  <dc:description/>
  <cp:lastModifiedBy>Zygmunt Jasiński</cp:lastModifiedBy>
  <cp:revision>14</cp:revision>
  <cp:lastPrinted>2021-10-05T10:17:00Z</cp:lastPrinted>
  <dcterms:created xsi:type="dcterms:W3CDTF">2021-10-04T06:52:00Z</dcterms:created>
  <dcterms:modified xsi:type="dcterms:W3CDTF">2021-10-05T10:17:00Z</dcterms:modified>
</cp:coreProperties>
</file>