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52" w:rsidRDefault="00B4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AB1A24">
        <w:rPr>
          <w:rFonts w:ascii="Times New Roman" w:hAnsi="Times New Roman" w:cs="Times New Roman"/>
          <w:sz w:val="24"/>
          <w:szCs w:val="24"/>
        </w:rPr>
        <w:t>dział</w:t>
      </w:r>
      <w:r w:rsidR="00AB1A24" w:rsidRPr="00AB1A24">
        <w:rPr>
          <w:rFonts w:ascii="Times New Roman" w:hAnsi="Times New Roman" w:cs="Times New Roman"/>
          <w:sz w:val="24"/>
          <w:szCs w:val="24"/>
        </w:rPr>
        <w:t>ań „</w:t>
      </w:r>
      <w:r w:rsidR="00AB1A24">
        <w:rPr>
          <w:rFonts w:ascii="Times New Roman" w:hAnsi="Times New Roman" w:cs="Times New Roman"/>
          <w:sz w:val="24"/>
          <w:szCs w:val="24"/>
        </w:rPr>
        <w:t>Aktywna tablica”: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zespołów i wyznaczenie koordynatora programu.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zasad pracy i opracowanie planu pracy.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zakładki na stronie internetowej szkoły.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szkolenia :efektywne wykorzystanie monitorów interaktywnych w nauczaniu”.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w ramach międzyszkolnych sieci współpracy.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co najmniej 2 lekcji otwartych z różnych przedmiotów.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TIK w pracy z uczniem ze specjalnymi potrzebami edukacyjnymi.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Zamieszczanie scenariuszy zajęć z wykorzystaniem tablic i monitorów interaktywnych.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Zamieszczanie na stronie szkoły przydatnych linków dotyczących wykorzystania tablic i monitorów interaktywnych w nauczaniu.</w:t>
      </w:r>
    </w:p>
    <w:p w:rsid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szkolnego kodeksu TIK.</w:t>
      </w:r>
    </w:p>
    <w:p w:rsidR="00AB1A24" w:rsidRPr="00AB1A24" w:rsidRDefault="00AB1A24" w:rsidP="00AB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programu.</w:t>
      </w:r>
    </w:p>
    <w:sectPr w:rsidR="00AB1A24" w:rsidRPr="00AB1A24" w:rsidSect="00AD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AB4"/>
    <w:multiLevelType w:val="hybridMultilevel"/>
    <w:tmpl w:val="A46C2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A24"/>
    <w:rsid w:val="006E4BCE"/>
    <w:rsid w:val="00AB1A24"/>
    <w:rsid w:val="00AD5B52"/>
    <w:rsid w:val="00B4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2</cp:revision>
  <dcterms:created xsi:type="dcterms:W3CDTF">2019-09-29T16:31:00Z</dcterms:created>
  <dcterms:modified xsi:type="dcterms:W3CDTF">2019-10-21T13:11:00Z</dcterms:modified>
</cp:coreProperties>
</file>