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;Times New Roman" w:hAnsi="Times;Times New Roman" w:cs="Times;Times New Roman"/>
          <w:b/>
        </w:rPr>
      </w:pPr>
      <w:r>
        <w:rPr>
          <w:rFonts w:cs="Times;Times New Roman" w:ascii="Times;Times New Roman" w:hAnsi="Times;Times New Roman"/>
          <w:b/>
        </w:rPr>
        <w:t>OCENIANIE I KLASYFIKOWANIE Z MATEMATYKI W KLASIE 6</w:t>
      </w:r>
    </w:p>
    <w:p>
      <w:pPr>
        <w:pStyle w:val="Normal"/>
        <w:bidi w:val="0"/>
        <w:jc w:val="center"/>
        <w:rPr>
          <w:rFonts w:ascii="Times;Times New Roman" w:hAnsi="Times;Times New Roman" w:cs="Times;Times New Roman"/>
          <w:b/>
        </w:rPr>
      </w:pPr>
      <w:r>
        <w:rPr>
          <w:rFonts w:cs="Times;Times New Roman" w:ascii="Times;Times New Roman" w:hAnsi="Times;Times New Roman"/>
          <w:b/>
        </w:rPr>
        <w:t>Rok szkolny 2024/2025</w:t>
      </w:r>
    </w:p>
    <w:p>
      <w:pPr>
        <w:pStyle w:val="Normal"/>
        <w:bidi w:val="0"/>
        <w:jc w:val="center"/>
        <w:rPr>
          <w:rFonts w:ascii="Times;Times New Roman" w:hAnsi="Times;Times New Roman" w:cs="Times;Times New Roman"/>
          <w:b/>
        </w:rPr>
      </w:pPr>
      <w:r>
        <w:rPr>
          <w:rFonts w:cs="Times;Times New Roman" w:ascii="Times;Times New Roman" w:hAnsi="Times;Times New Roman"/>
          <w:b/>
        </w:rPr>
      </w:r>
    </w:p>
    <w:p>
      <w:pPr>
        <w:pStyle w:val="Normal"/>
        <w:bidi w:val="0"/>
        <w:jc w:val="start"/>
        <w:rPr/>
      </w:pPr>
      <w:r>
        <w:rPr>
          <w:rFonts w:cs="Times;Times New Roman" w:ascii="Times;Times New Roman" w:hAnsi="Times;Times New Roman"/>
          <w:b/>
        </w:rPr>
        <w:t xml:space="preserve">1) Wymagania edukacyjne z matematyki </w:t>
      </w:r>
      <w:r>
        <w:rPr>
          <w:rFonts w:cs="Times;Times New Roman" w:ascii="Times;Times New Roman" w:hAnsi="Times;Times New Roman"/>
        </w:rPr>
        <w:t xml:space="preserve">niezbędne do otrzymania przez uczniów klas 6 poszczególnych śródrocznych i rocznych ocen klasyfikacyjnych wynikających z realizowanego przez siebie programu nauczania </w:t>
      </w:r>
    </w:p>
    <w:p>
      <w:pPr>
        <w:pStyle w:val="Normal"/>
        <w:bidi w:val="0"/>
        <w:jc w:val="start"/>
        <w:rPr>
          <w:rFonts w:ascii="Times;Times New Roman" w:hAnsi="Times;Times New Roman" w:cs="Times;Times New Roman"/>
        </w:rPr>
      </w:pPr>
      <w:r>
        <w:rPr>
          <w:rFonts w:cs="Times;Times New Roman" w:ascii="Times;Times New Roman" w:hAnsi="Times;Times New Roman"/>
        </w:rPr>
        <w:t>Ocenę niedostateczną otrzymuje uczeń, który nie spełnia wymagań edukacyjnych na ocenę dopuszczającą.</w:t>
      </w:r>
    </w:p>
    <w:p>
      <w:pPr>
        <w:pStyle w:val="Standard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Standard"/>
        <w:rPr/>
      </w:pPr>
      <w:r>
        <w:rPr>
          <w:rFonts w:cs="Calibri"/>
          <w:b/>
          <w:sz w:val="20"/>
          <w:szCs w:val="20"/>
          <w:u w:val="single"/>
        </w:rPr>
        <w:t>Treści nieobowiązkowe zapisano</w:t>
      </w:r>
      <w:r>
        <w:rPr>
          <w:rFonts w:cs="Calibri"/>
          <w:b/>
          <w:color w:val="0000FF"/>
          <w:sz w:val="20"/>
          <w:szCs w:val="20"/>
          <w:u w:val="single"/>
        </w:rPr>
        <w:t xml:space="preserve"> </w:t>
      </w:r>
      <w:r>
        <w:rPr>
          <w:rFonts w:cs="Calibri"/>
          <w:b/>
          <w:color w:val="000000"/>
          <w:sz w:val="20"/>
          <w:szCs w:val="20"/>
          <w:u w:val="single"/>
          <w:shd w:fill="C0C0C0" w:val="clear"/>
        </w:rPr>
        <w:t>na szarym tle</w:t>
      </w:r>
      <w:r>
        <w:rPr>
          <w:rFonts w:cs="Calibri"/>
          <w:b/>
          <w:color w:val="000000"/>
          <w:sz w:val="20"/>
          <w:szCs w:val="20"/>
          <w:u w:val="single"/>
        </w:rPr>
        <w:t>.</w:t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6699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DZIAŁ 1. LICZBY NATURALNE I UŁAMKI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nazwy działań (K) 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kolejność wykonywania działań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potęgi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algorytm mnożenia i dzielenia ułamków dziesiętnych przez 10, 100, 1000,..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algorytmy czterech działań pisemnych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zasadę skracania i rozszerzania ułamków zwykłych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ułamka nieskracalnego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pojęcie ułamka jako: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ilorazu dwóch liczb naturalnych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części całości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algorytm zamiany liczby mieszanej na ułamek niewłaściwy i odwrotnie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algorytmy czterech działań na ułamkach zwykłych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zasadę zamiany ułamka dziesiętnego na ułamek zwykły (K)</w:t>
              <w:tab/>
              <w:tab/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zaznaczyć i odczytać na osi liczbowej: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liczbę naturalną (K-P)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ułamek zwykły i dziesiętny (K-R)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dodawać i odejmować w pamięci: 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dwucyfrowe liczby naturalne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ułamki dziesiętne o jednakowej liczbie cyfr po przecinku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dodawać, odejmować, mnożyć i dzielić ułamki zwykłe i ułamki dziesiętne (K-P)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zamienić ułamek zwykły na ułamek dziesiętny i odwrotnie (K-P)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kwadrat i sześcian: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liczby naturalnej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ułamka dziesiętnego (K-P)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pisemnie wykonać każde z czterech działań na ułamkach dziesiętnych (K-P)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>
            <w:pPr>
              <w:pStyle w:val="Akapitzlist"/>
              <w:numPr>
                <w:ilvl w:val="0"/>
                <w:numId w:val="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rozwinięcia dziesiętnego skończonego i rozwinięcia dziesiętnego nieskończonego okresowego (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zaznaczyć i odczytać na osi liczbowej ułamek dziesiętny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pamięciowo dodawać i odejmować: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ułamki dziesiętne różniące się liczbą cyfr po przecinku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wielocyfrowe liczby naturalne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mnożyć i dzielić w pamięci ułamki dziesiętne wykraczające poza tabliczkę mnożenia </w:t>
            </w:r>
            <w:r>
              <w:rPr>
                <w:rFonts w:cs="Calibri"/>
                <w:b/>
                <w:sz w:val="20"/>
                <w:szCs w:val="20"/>
              </w:rPr>
              <w:t>(w przypadku, gdy ułamki mają co najwyżej 6 cyfr różnych od zera)</w:t>
            </w:r>
            <w:r>
              <w:rPr>
                <w:rFonts w:cs="Calibri"/>
                <w:sz w:val="20"/>
                <w:szCs w:val="20"/>
              </w:rPr>
              <w:t>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ułamek z ułamka lub liczby mieszanej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 zastosowaniem działań na ułamkach zwykłych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ułamek zwykły z ułamkiem dziesiętnym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porządkować ułamki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rozwinięcie dziesiętne ułamka zwykłego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w skróconej postaci rozwinięcie dziesiętne ułamka zwykłego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kolejną cyfrę rozwinięcia dziesiętnego na podstawie jego skróconego zapisu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 zawierającego potęgi (P-R)</w:t>
            </w:r>
          </w:p>
          <w:p>
            <w:pPr>
              <w:pStyle w:val="Akapitzlist"/>
              <w:numPr>
                <w:ilvl w:val="0"/>
                <w:numId w:val="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potęgami (P-R)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szacować wartości wyrażeń arytmetycznych (R)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podnosić do kwadratu i sześcianu liczby mieszane (R-D)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działaniami na ułamkach zwykłych i dziesiętnych (R)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rozwinięcia dziesiętne liczb zapisanych w skróconej postaci (R-D)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liczby wymierne dodatnie (R-D)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porządkować liczby wymierne dodatnie (R-D)</w:t>
              <w:tab/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ułamka piętrowego (R-D)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>
            <w:pPr>
              <w:pStyle w:val="Akapitzlist"/>
              <w:numPr>
                <w:ilvl w:val="0"/>
                <w:numId w:val="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zapisać liczbę w postaci potęgi liczby10 (R)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warunek konieczny zamiany ułamka zwykłego na ułamek dziesiętny skończony (D)</w:t>
              <w:tab/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 zawierającego działania na liczbach naturalnych i ułamkach dziesiętnych (D-W)</w:t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 zastosowaniem działań na ułamkach zwykłych (D-W)</w:t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rodzaj rozwinięcia dziesiętnego ułamka (D-W)</w:t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określić ostatnią cyfrę potęgi (D-W)</w:t>
            </w:r>
          </w:p>
          <w:p>
            <w:pPr>
              <w:pStyle w:val="Akapitzlist"/>
              <w:numPr>
                <w:ilvl w:val="0"/>
                <w:numId w:val="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288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6699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20"/>
                <w:szCs w:val="20"/>
              </w:rPr>
              <w:t>DZIAŁ  2. FIGURY</w:t>
            </w:r>
            <w:r>
              <w:rPr>
                <w:rFonts w:cs="Calibri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NA</w:t>
            </w:r>
            <w:r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pojęcia: prosta, półprosta, odcinek,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pojęcia: koło i okrąg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elementy koła i okręgu (K-P)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zależność między długością promienia i średnicy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rodzaje trójkątów (K-P)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nazwy boków w trójkącie równoramiennym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nazwy boków w trójkącie prostokątnym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nazwy czworokątów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własności czworokątów (K-P)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definicję przekątnej oraz obwodu wielokąta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zależność między liczbą boków, wierzchołków i kątów w wielokącie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kąta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wierzchołka i ramion kąta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podział kątów ze względu na miarę prosty, ostry, rozwarty(K),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podział kątów ze względu na położenie przyległe, wierzchołkowe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zapis symboliczny kąta i jego miary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sumę miar kątów wewnętrznych trójkąta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sumę miar kątów wewnętrznych czworokąta (K)</w:t>
              <w:tab/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różnicę między prostą i odcinkiem, prostą i półprostą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konieczność stosowania odpowiednich przyrządów do rysowania figur geometrycznych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pochodzenie nazw poszczególnych rodzajów trójkątów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związki miarowe poszczególnych rodzajów kątów (K-P)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poszczególne elementy w okręgu i w kole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kreślić koło i okrąg o danym promieniu lub o danej średnicy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narysować poszczególne rodzaje trójkątów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obwód trójkąta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narysować czworokąt, mając informacje o  bokach (K-R)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na rysunku wielokąt o określonych cechach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obwód czworokąta (K-P)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zmierzyć kąt (K)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narysować kąt o określonej mierze (K-P)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rozróżniać i nazywać poszczególne rodzaje kątów (K-R)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brakujące miary kątów trójkąta (K-P)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definicje odcinków prostopadłych i odcinków równoległych (P)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zależność między bokami w trójkącie równoramiennym (P)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zasady konstrukcji trójkąta o danych trzech bokach (P)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warunek zbudowania trójkąta – nierówność trójkąta (P)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podział kątów ze względu na miarę pełny, półpełny (P)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miary kątów w trójkącie równobocznym (P)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zależność między kątami w trójkącie równoramiennym (P)</w:t>
              <w:tab/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różnicę między kołem i okręgiem (P)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narysować za pomocą ekierki i linijki proste równoległe o danej odległości od siebie (P)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wzajemnym położeniem odcinków, prostych i półprostych (P-R)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tekstowe związane z kołem, okręgiem i innymi figurami (P-R)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narysować trójkąt w skali (P)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boku trójkąta równobocznego, znając jego obwód (P)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boku trójkąta, znając obwód i informacje o pozostałych bokach (P-R)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skonstruować trójkąt o danych trzech bokach (P)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sprawdzić, czy z odcinków o danych długościach można zbudować trójkąt (P-R)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sklasyfikować czworokąty (P-R)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narysować czworokąt, mając informacje o przekątnych (P-R)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obwodem czworokąta (P-R)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brakujące miary kątów przyległych, wierzchołkowych (P)</w:t>
            </w:r>
          </w:p>
          <w:p>
            <w:pPr>
              <w:pStyle w:val="Akapitzlist"/>
              <w:numPr>
                <w:ilvl w:val="0"/>
                <w:numId w:val="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brakujące miary kątów czworokątów (P-R)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wzajemne położenie: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prostej i okręgu (R),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okręgów (R)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podział kątów ze względu na miarę wypukły, wklęsły (R)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podział kątów ze względu na położenie odpowiadające, naprzemianległe (R)</w:t>
              <w:tab/>
              <w:tab/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konstrukcyjne związane z konstrukcją trójkąta o danych bokach (R)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skonstruować kopię czworokąta (R)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brakujące miary kątów odpowiadających, naprzemianległych (R)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obwodem trójkąta (R-W)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obwodem wielokąta (R-W)</w:t>
            </w:r>
          </w:p>
          <w:p>
            <w:pPr>
              <w:pStyle w:val="Akapitzlist"/>
              <w:numPr>
                <w:ilvl w:val="0"/>
                <w:numId w:val="7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skonstruować równoległobok, znając dwa boki i przekątną (R)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zadania konstrukcyjne związane z kreśleniem prostych prostopadłych i prostych równoległych (D-W)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zadania tekstowe związane z kołem, okręgiem i innymi figurami (D-W)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przenoszenie odcinków w zadaniach konstrukcyjnych (D-W)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konstrukcyjne związane z konstrukcją trójkąta o danych bokach (D-W)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skonstruować trapez równoramienny, znając jego podstawy i ramię (D-W)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związane z zegarem (D-W)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>
            <w:pPr>
              <w:pStyle w:val="Akapitzlist"/>
              <w:numPr>
                <w:ilvl w:val="0"/>
                <w:numId w:val="8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celującą (oprócz spełnienia wymagań na ocenę bardzo dobrą).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konstrukcję prostej prostopadłej do danej, przechodzącej przez dany punkt (W)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konstrukcję prostej równoległej do danej, przechodzącej przez dany punkt (W)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konstrukcyjny sposób wyznaczania środka odcinka (W)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symetralnej odcinka (W)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definicję sześciokąta foremnego oraz sposób jego kreślenia (W)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przybliżenia z niedomiarem oraz przybliżenia z nadmiarem (W)</w:t>
              <w:tab/>
              <w:tab/>
              <w:tab/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skonstruować prostą prostopadłą do danej, przechodzącą przez dany punkt (W)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skonstruować prostą równoległą do danej, przechodzącą przez dany punkt (W)</w:t>
            </w:r>
          </w:p>
          <w:p>
            <w:pPr>
              <w:pStyle w:val="Akapitzlist"/>
              <w:numPr>
                <w:ilvl w:val="0"/>
                <w:numId w:val="9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środek narysowanego okręgu (W)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288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6699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20"/>
                <w:szCs w:val="20"/>
              </w:rPr>
              <w:t>DZIAŁ  3. LICZBY</w:t>
            </w:r>
            <w:r>
              <w:rPr>
                <w:rFonts w:cs="Calibr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NA</w:t>
            </w:r>
            <w:r>
              <w:rPr>
                <w:rFonts w:cs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CO</w:t>
            </w:r>
            <w:r>
              <w:rPr>
                <w:rFonts w:cs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pacing w:val="-4"/>
                <w:sz w:val="20"/>
                <w:szCs w:val="20"/>
              </w:rPr>
              <w:t>DZIEŃ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jednostki czasu (K) 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jednostki długości (K)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jednostki masy (K)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skali i planu (K)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stosowania różnorodnych jednostek długości i masy (K)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stosowania odpowiedniej skali na mapach i planach (K)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korzyści płynące z umiejętności stosowania kalkulatora do obliczeń (K)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znaczenie podstawowych symboli występujących w instrukcjach i opisach: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diagramów (K)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schematów (K)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innych rysunków (K)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upływ czasu między wydarzeniami (K-P)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porządkować wydarzenia w kolejności chronologicznej (K)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zamienić jednostki czasu (K-R)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obliczenia dotyczące długości (K-P)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obliczenia dotyczące masy (K-P)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zamienić jednostki długości i masy (K-P)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skalę (K-P)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długości odcinków w skali lub w rzeczywistości (K-P)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obliczenia za pomocą kalkulatora (K-R)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dane z: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tabeli (K)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</w:t>
            </w:r>
            <w:r>
              <w:rPr>
                <w:rFonts w:cs="Calibri"/>
                <w:sz w:val="20"/>
                <w:szCs w:val="20"/>
              </w:rPr>
              <w:t>diagramu (K)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odpowiedzieć na pytanie dotyczące znalezionych danych (K-R)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dane z wykresu (K-P)</w:t>
            </w:r>
          </w:p>
          <w:p>
            <w:pPr>
              <w:pStyle w:val="Akapitzlist"/>
              <w:numPr>
                <w:ilvl w:val="0"/>
                <w:numId w:val="10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odpowiedzieć na pytanie dotyczące znalezionych danych (K-R)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zasady dotyczące lat przestępnych (P)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symbol przybliżenia (P)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konieczność wprowadzenia lat przestępnych (P)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zaokrąglania liczb (P)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zasadę sporządzania wykresów (P)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przykładowe lata przestępne (P)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wyrażać w różnych jednostkach ten sam upływ czasu (P-R)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kalendarzem i czasem (P-R)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wyrażać w różnych jednostkach te same masy (P-R)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wyrażać w różnych jednostkach te same długości (P-R)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porządkować wielkości podane w różnych jednostkach (P-R)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jednostkami długości i masy (P-R)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ze skalą (P-R)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zaokrąglić liczbę do danego rzędu (P-R)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sprawdzić, czy kalkulator zachowuje kolejność działań (P)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kalkulator do rozwiązania zadanie tekstowego (P-R)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zadanie, odczytując dane z tabeli  i korzystając z kalkulatora (P-R)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zinterpretować odczytane dane (P-R)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zinterpretować odczytane dane (P-R)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przedstawić dane w postaci wykresu (P-R)</w:t>
            </w:r>
          </w:p>
          <w:p>
            <w:pPr>
              <w:pStyle w:val="Akapitzlist"/>
              <w:numPr>
                <w:ilvl w:val="0"/>
                <w:numId w:val="11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informacje oczytane z dwóch wykresów (P-R)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funkcje klawiszy pamięci kalkulatora (R)</w:t>
              <w:tab/>
            </w:r>
          </w:p>
          <w:p>
            <w:pPr>
              <w:pStyle w:val="Akapitzlist"/>
              <w:numPr>
                <w:ilvl w:val="0"/>
                <w:numId w:val="1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zaokrąglić liczbę zaznaczoną na osi liczbowej (R)</w:t>
            </w:r>
          </w:p>
          <w:p>
            <w:pPr>
              <w:pStyle w:val="Akapitzlist"/>
              <w:numPr>
                <w:ilvl w:val="0"/>
                <w:numId w:val="1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liczby o podanym zaokrągleniu (R)</w:t>
            </w:r>
          </w:p>
          <w:p>
            <w:pPr>
              <w:pStyle w:val="Akapitzlist"/>
              <w:numPr>
                <w:ilvl w:val="0"/>
                <w:numId w:val="1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zaokrąglić liczbę po zamianie jednostek (R)</w:t>
            </w:r>
          </w:p>
          <w:p>
            <w:pPr>
              <w:pStyle w:val="Akapitzlist"/>
              <w:numPr>
                <w:ilvl w:val="0"/>
                <w:numId w:val="12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informacje oczytane z dwóch wykresów (R-W)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kalendarzem i czasem (D-W)</w:t>
            </w:r>
          </w:p>
          <w:p>
            <w:pPr>
              <w:pStyle w:val="Akapitzlist"/>
              <w:numPr>
                <w:ilvl w:val="0"/>
                <w:numId w:val="1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jednostkami długości i masy (D-W)</w:t>
            </w:r>
          </w:p>
          <w:p>
            <w:pPr>
              <w:pStyle w:val="Akapitzlist"/>
              <w:numPr>
                <w:ilvl w:val="0"/>
                <w:numId w:val="1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ze skalą (D-W)</w:t>
            </w:r>
          </w:p>
          <w:p>
            <w:pPr>
              <w:pStyle w:val="Akapitzlist"/>
              <w:numPr>
                <w:ilvl w:val="0"/>
                <w:numId w:val="1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określić, ile jest liczb o podanym zaokrągleniu spełniających dane warunki (D-W)</w:t>
            </w:r>
          </w:p>
          <w:p>
            <w:pPr>
              <w:pStyle w:val="Akapitzlist"/>
              <w:numPr>
                <w:ilvl w:val="0"/>
                <w:numId w:val="1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przybliżeniami (D-W)</w:t>
            </w:r>
          </w:p>
          <w:p>
            <w:pPr>
              <w:pStyle w:val="Akapitzlist"/>
              <w:numPr>
                <w:ilvl w:val="0"/>
                <w:numId w:val="1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wielodziałaniowe obliczenia za pomocą kalkulatora (D-W)</w:t>
            </w:r>
          </w:p>
          <w:p>
            <w:pPr>
              <w:pStyle w:val="Akapitzlist"/>
              <w:numPr>
                <w:ilvl w:val="0"/>
                <w:numId w:val="1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kalkulator do rozwiązania zadanie tekstowego (D-W)</w:t>
            </w:r>
          </w:p>
          <w:p>
            <w:pPr>
              <w:pStyle w:val="Akapitzlist"/>
              <w:numPr>
                <w:ilvl w:val="0"/>
                <w:numId w:val="1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odpowiedzieć na pytanie dotyczące znalezionych danych (D-W)</w:t>
            </w:r>
          </w:p>
          <w:p>
            <w:pPr>
              <w:pStyle w:val="Akapitzlist"/>
              <w:numPr>
                <w:ilvl w:val="0"/>
                <w:numId w:val="1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>
            <w:pPr>
              <w:pStyle w:val="Akapitzlist"/>
              <w:numPr>
                <w:ilvl w:val="0"/>
                <w:numId w:val="1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odpowiedzieć na pytanie dotyczące znalezionych danych (D-W)</w:t>
            </w:r>
          </w:p>
          <w:p>
            <w:pPr>
              <w:pStyle w:val="Akapitzlist"/>
              <w:numPr>
                <w:ilvl w:val="0"/>
                <w:numId w:val="1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dopasować wykres do opisu sytuacji (D-W)</w:t>
            </w:r>
          </w:p>
          <w:p>
            <w:pPr>
              <w:pStyle w:val="Akapitzlist"/>
              <w:numPr>
                <w:ilvl w:val="0"/>
                <w:numId w:val="13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przedstawić dane w postaci wykresu (D)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celującą (oprócz spełnienia wymagań na ocenę bardzo dobrą).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4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288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6699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20"/>
                <w:szCs w:val="20"/>
              </w:rPr>
              <w:t>DZIAŁ  4. PRĘDKOŚĆ,</w:t>
            </w:r>
            <w:r>
              <w:rPr>
                <w:rFonts w:cs="Calibr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DROGA,</w:t>
            </w:r>
            <w:r>
              <w:rPr>
                <w:rFonts w:cs="Calibr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pacing w:val="-4"/>
                <w:sz w:val="20"/>
                <w:szCs w:val="20"/>
              </w:rPr>
              <w:t>CZAS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jednostki prędkości (K-P)</w:t>
              <w:tab/>
              <w:tab/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na podstawie podanej prędkości wyznaczać długość drogi przebytej w jednostce czasu (K)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drogę, znając stałą prędkość i czas (K-R)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prędkości dwóch ciał, które przebyły jednakowe drogi w różnych czasach (K)</w:t>
            </w:r>
          </w:p>
          <w:p>
            <w:pPr>
              <w:pStyle w:val="Akapitzlist"/>
              <w:numPr>
                <w:ilvl w:val="0"/>
                <w:numId w:val="15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prędkość w ruchu jednostajnym, znając drogę i czas (K-P)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algorytm zamiany jednostek prędkości (P-D)</w:t>
              <w:tab/>
            </w:r>
          </w:p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stosowania różnych jednostek prędkości (P)</w:t>
              <w:tab/>
            </w:r>
          </w:p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jednostki prędkości (P-R)</w:t>
            </w:r>
          </w:p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prędkości wyrażane w różnych jednostkach (P-R)</w:t>
            </w:r>
          </w:p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obliczaniem prędkości (P-R)</w:t>
            </w:r>
          </w:p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czas w ruchu jednostajnym, znając drogę i prędkość (P-R)</w:t>
            </w:r>
          </w:p>
          <w:p>
            <w:pPr>
              <w:pStyle w:val="Akapitzlist"/>
              <w:numPr>
                <w:ilvl w:val="0"/>
                <w:numId w:val="1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typu prędkość – droga – czas (P-R)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obliczaniem czasu (R)</w:t>
              <w:tab/>
            </w:r>
          </w:p>
          <w:p>
            <w:pPr>
              <w:pStyle w:val="Akapitzlist"/>
              <w:numPr>
                <w:ilvl w:val="0"/>
                <w:numId w:val="1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obliczaniem drogi w ruchu jednostajnym (D-W)</w:t>
            </w:r>
          </w:p>
          <w:p>
            <w:pPr>
              <w:pStyle w:val="Akapitzlist"/>
              <w:numPr>
                <w:ilvl w:val="0"/>
                <w:numId w:val="1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obliczaniem czasu (D-W)</w:t>
            </w:r>
          </w:p>
          <w:p>
            <w:pPr>
              <w:pStyle w:val="Akapitzlist"/>
              <w:numPr>
                <w:ilvl w:val="0"/>
                <w:numId w:val="1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288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6699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20"/>
                <w:szCs w:val="20"/>
              </w:rPr>
              <w:t>DZIAŁ  5. POLA</w:t>
            </w:r>
            <w:r>
              <w:rPr>
                <w:rFonts w:cs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pacing w:val="-2"/>
                <w:sz w:val="20"/>
                <w:szCs w:val="20"/>
              </w:rPr>
              <w:t>WIELOKĄTÓW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jednostki miary pola (K)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wzory na obliczanie pola prostokąta i kwadratu (K)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wzory na obliczanie pola równoległoboku i rombu (K)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pola trójkąta (K)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pola trapezu (K)</w:t>
              <w:tab/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miary pola jako liczby kwadratów jednostkowych (K)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zależność doboru wzoru na obliczanie pola rombu od danych (K)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prostokąta i kwadratu (K)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bok prostokąta, znając jego pole i długość drugiego boku (K-P)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równoległoboku o danej wysokości i podstawie (K)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rombu o danych przekątnych (K)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narysowanego równoległoboku (K-P)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trójkąta o danej wysokości i podstawie (K)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narysowanego trójkąta (K-R)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trapezu, mając dane długości podstaw i wysokość (K)</w:t>
            </w:r>
          </w:p>
          <w:p>
            <w:pPr>
              <w:pStyle w:val="Akapitzlist"/>
              <w:numPr>
                <w:ilvl w:val="0"/>
                <w:numId w:val="1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narysowanego trapezu (K-R)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zasadę zamiany jednostek pola (P)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wyprowadzenie wzoru na obliczanie pola równoległoboku (P)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wyprowadzenie wzoru na obliczanie pola trójkąta (P)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wyprowadzenie wzoru na obliczanie pola trapezu (P)</w:t>
              <w:tab/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kwadratu o danym obwodzie i odwrotnie (P-R)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narysować prostokąt o danym polu (P)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polem prostokąta (P-R)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zamienić jednostki pola (P-D)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narysować równoległobok o danym polu (P)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polem równoległoboku i rombu (P-R)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polem trójkąta (P-R)</w:t>
            </w:r>
          </w:p>
          <w:p>
            <w:pPr>
              <w:pStyle w:val="Akapitzlist"/>
              <w:numPr>
                <w:ilvl w:val="0"/>
                <w:numId w:val="2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polem trapezu (P-R)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figury jako sumę lub różnicę pól prostokątów (R-D)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narysować równoległobok o polu równym polu danego czworokąta (R-D)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przekątnej rombu, znając jego pole i długość drugiej przekątnej (R)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podzielić trójkąt na części o równych polach (R-D)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figury jako sumę lub różnicę pól trójkątów i czworokątów (R-W)</w:t>
            </w:r>
          </w:p>
          <w:p>
            <w:pPr>
              <w:pStyle w:val="Akapitzlist"/>
              <w:numPr>
                <w:ilvl w:val="0"/>
                <w:numId w:val="2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polem prostokąta (D-W)</w:t>
            </w:r>
          </w:p>
          <w:p>
            <w:pPr>
              <w:pStyle w:val="Akapitzlist"/>
              <w:numPr>
                <w:ilvl w:val="0"/>
                <w:numId w:val="2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podzielić trapez na części o równych polach (D-W)</w:t>
            </w:r>
          </w:p>
          <w:p>
            <w:pPr>
              <w:pStyle w:val="Akapitzlist"/>
              <w:numPr>
                <w:ilvl w:val="0"/>
                <w:numId w:val="2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288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6699" w:val="clear"/>
          </w:tcPr>
          <w:p>
            <w:pPr>
              <w:pStyle w:val="Standard"/>
              <w:spacing w:before="0" w:after="0"/>
              <w:jc w:val="center"/>
              <w:rPr/>
            </w:pPr>
            <w:r>
              <w:rPr>
                <w:rFonts w:cs="Calibri"/>
                <w:b/>
                <w:sz w:val="20"/>
                <w:szCs w:val="20"/>
              </w:rPr>
              <w:t xml:space="preserve">DZIAŁ  6. </w:t>
            </w:r>
            <w:r>
              <w:rPr>
                <w:rFonts w:cs="Calibri"/>
                <w:b/>
                <w:spacing w:val="-2"/>
                <w:sz w:val="20"/>
                <w:szCs w:val="20"/>
              </w:rPr>
              <w:t>PROCENTY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procentu (K)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algorytm zamiany ułamków na procenty (K-P)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diagramu (K)</w:t>
              <w:tab/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stosowania procentów w życiu codziennym (K)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procentu liczby jako jej części (K)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w procentach, jaką część figury zacieniowano (K-P)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zamienić procent na ułamek (K-R)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opisywać w procentach części skończonych zbiorów (K-R)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zamienić ułamek na procent (K-R)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dane z diagramu (K-R)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odpowiedzieć na pytanie dotyczące znalezionych danych (K-R)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>
            <w:pPr>
              <w:pStyle w:val="Akapitzlist"/>
              <w:numPr>
                <w:ilvl w:val="0"/>
                <w:numId w:val="2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algorytm obliczania ułamka liczby (P) 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zasady zaokrąglania liczb (P)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równoważność wyrażania części liczby ułamkiem lub procentem (P)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stosowania różnych diagramów (P)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wyrazić informacje podane za pomocą procentów w ułamkach i odwrotnie (P-R)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dwie liczby, z których jedna jest zapisana w postaci procentu (P-R)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procentami (P-R)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określić, jakim procentem jednej liczby jest druga (P-R)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dane z diagramów do obliczania procentu liczby (P-R)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obliczaniem procentu danej liczby (P-R)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liczbę większą o dany procent (P)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liczbę mniejszą o dany procent (P)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podwyżkami i obniżkami o dany procent (P-R)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>
            <w:pPr>
              <w:pStyle w:val="Akapitzlist"/>
              <w:numPr>
                <w:ilvl w:val="0"/>
                <w:numId w:val="2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5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ułamkami i procentami (D-W)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obliczaniem procentu danej liczby (D-W)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>
            <w:pPr>
              <w:pStyle w:val="Akapitzlist"/>
              <w:numPr>
                <w:ilvl w:val="0"/>
                <w:numId w:val="26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288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6699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20"/>
                <w:szCs w:val="20"/>
              </w:rPr>
              <w:t xml:space="preserve">DZIAŁ 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  <w:r>
              <w:rPr>
                <w:rFonts w:cs="Calibri"/>
                <w:b/>
                <w:sz w:val="20"/>
                <w:szCs w:val="20"/>
              </w:rPr>
              <w:t xml:space="preserve">. </w:t>
            </w:r>
            <w:r>
              <w:rPr>
                <w:rFonts w:cs="Calibri"/>
                <w:b/>
                <w:spacing w:val="-2"/>
                <w:sz w:val="20"/>
                <w:szCs w:val="20"/>
              </w:rPr>
              <w:t>Liczby dodatnie i  ujemne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liczby ujemnej (K)</w:t>
            </w:r>
          </w:p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liczb przeciwnych (K)</w:t>
            </w:r>
          </w:p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zasadę dodawania liczb o jednakowych znakach (K)</w:t>
            </w:r>
          </w:p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zasadę dodawania liczb o różnych znakach (K)</w:t>
            </w:r>
          </w:p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zasadę ustalania znaku iloczynu i ilorazu (K)</w:t>
            </w:r>
          </w:p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rozszerzenie osi liczbowej na liczby ujemne (K)</w:t>
            </w:r>
          </w:p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zasadę dodawania liczb o jednakowych znakach (K)</w:t>
            </w:r>
          </w:p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zasadę dodawania liczb o różnych znakach (K)</w:t>
            </w:r>
          </w:p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zaznaczyć i odczytać liczbę ujemną na osi liczbowej (K-P)</w:t>
            </w:r>
          </w:p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wymienić kilka liczb większych lub mniejszych od danej (K-P)</w:t>
            </w:r>
          </w:p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liczby wymierne (K-P)</w:t>
            </w:r>
          </w:p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zaznaczyć liczby przeciwne na osi liczbowej (K)</w:t>
            </w:r>
          </w:p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sumę i różnicę liczb całkowitych (K-P)</w:t>
            </w:r>
          </w:p>
          <w:p>
            <w:pPr>
              <w:pStyle w:val="Akapitzlist"/>
              <w:numPr>
                <w:ilvl w:val="0"/>
                <w:numId w:val="2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powiększyć lub pomniejszyć liczbę całkowitą o daną liczbę (K-R)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wartości bezwzględnej (P)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zasadę zastępowania odejmowania dodawaniem liczby przeciwnej (P)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zasadę zastępowania odejmowania dodawaniem liczby przeciwnej (P)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porządkować liczby wymierne (P-R)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bezwzględną liczby (P-R)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sumę i różnicę liczb wymiernych (P-R)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korzystać z przemienności i łączności dodawania (P)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uzupełnić brakujące składniki, odjemną lub odjemnik w działaniu (P-R)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kwadrat i sześcian liczb całkowitych (P-R)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ustalić znak iloczynu i ilorazu kilku liczb wymiernych (P)</w:t>
            </w:r>
          </w:p>
          <w:p>
            <w:pPr>
              <w:pStyle w:val="Akapitzlist"/>
              <w:numPr>
                <w:ilvl w:val="0"/>
                <w:numId w:val="2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2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podać, ile liczb spełnia podany warunek (R)</w:t>
            </w:r>
          </w:p>
          <w:p>
            <w:pPr>
              <w:pStyle w:val="Akapitzlist"/>
              <w:numPr>
                <w:ilvl w:val="0"/>
                <w:numId w:val="2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sumę wieloskładnikową (R)</w:t>
            </w:r>
          </w:p>
          <w:p>
            <w:pPr>
              <w:pStyle w:val="Akapitzlist"/>
              <w:numPr>
                <w:ilvl w:val="0"/>
                <w:numId w:val="2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ustalić znak wyrażenia arytmetycznego zawierającego kilka liczb wymiernych (R)</w:t>
              <w:tab/>
            </w:r>
          </w:p>
          <w:p>
            <w:pPr>
              <w:pStyle w:val="Akapitzlist"/>
              <w:numPr>
                <w:ilvl w:val="0"/>
                <w:numId w:val="2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dodawaniem i odejmowaniem liczb wymiernych (R-W)</w:t>
            </w:r>
          </w:p>
          <w:p>
            <w:pPr>
              <w:pStyle w:val="Akapitzlist"/>
              <w:numPr>
                <w:ilvl w:val="0"/>
                <w:numId w:val="2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potęgę liczby wymiernej (R)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związane z liczbami dodatnimi i ujemnymi (D-W)</w:t>
            </w:r>
          </w:p>
          <w:p>
            <w:pPr>
              <w:pStyle w:val="Akapitzlist"/>
              <w:numPr>
                <w:ilvl w:val="0"/>
                <w:numId w:val="30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288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6699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20"/>
                <w:szCs w:val="20"/>
              </w:rPr>
              <w:t xml:space="preserve">DZIAŁ 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  <w:r>
              <w:rPr>
                <w:rFonts w:cs="Calibri"/>
                <w:b/>
                <w:sz w:val="20"/>
                <w:szCs w:val="20"/>
              </w:rPr>
              <w:t xml:space="preserve">. </w:t>
            </w:r>
            <w:r>
              <w:rPr>
                <w:rFonts w:cs="Calibri"/>
                <w:b/>
                <w:spacing w:val="-2"/>
                <w:sz w:val="20"/>
                <w:szCs w:val="20"/>
              </w:rPr>
              <w:t>Wyrażenia algebraiczne i równania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zasady tworzenia wyrażeń algebraicznych (K-P)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pojęcia: suma, różnica, iloczyn, iloraz, kwadrat nieznanych wielkości liczbowych (K-P)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wartości liczbowej wyrażenia algebraicznego (K)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równania (K)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rozwiązania równania (K)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liczby spełniającej równanie (K)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liczbową wyrażenia bez jego przekształcenia (K-R)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zadanie w postaci równania (K-R)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odgadnąć rozwiązanie równania (K-P)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rozwiązanie prostego równania (K-R)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sprawdzić, czy liczba spełnia równanie (K-P)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proste równanie przez dopełnienie lub wykonanie działania odwrotnego (K-P)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sprawdzić poprawność rozwiązania równania (K-P)</w:t>
            </w:r>
          </w:p>
          <w:p>
            <w:pPr>
              <w:pStyle w:val="Akapitzlist"/>
              <w:numPr>
                <w:ilvl w:val="0"/>
                <w:numId w:val="31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sprawdzić poprawność rozwiązania zadania (K-P)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zasady krótszego zapisu wyrażeń algebraicznych będących sumą lub różnicą jednomianów (P)</w:t>
            </w:r>
          </w:p>
          <w:p>
            <w:pPr>
              <w:pStyle w:val="Akapitzlist"/>
              <w:numPr>
                <w:ilvl w:val="0"/>
                <w:numId w:val="3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>
            <w:pPr>
              <w:pStyle w:val="Akapitzlist"/>
              <w:numPr>
                <w:ilvl w:val="0"/>
                <w:numId w:val="3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tworzenia wyrażeń algebraicznych (P)</w:t>
            </w:r>
          </w:p>
          <w:p>
            <w:pPr>
              <w:pStyle w:val="Akapitzlist"/>
              <w:numPr>
                <w:ilvl w:val="0"/>
                <w:numId w:val="3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oznaczenia literowe nieznanych wielkości liczbowych (P-R)</w:t>
            </w:r>
          </w:p>
          <w:p>
            <w:pPr>
              <w:pStyle w:val="Akapitzlist"/>
              <w:numPr>
                <w:ilvl w:val="0"/>
                <w:numId w:val="3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zbudować wyrażenie algebraiczne na podstawie opisu lub rysunku (P-R)</w:t>
            </w:r>
          </w:p>
          <w:p>
            <w:pPr>
              <w:pStyle w:val="Akapitzlist"/>
              <w:numPr>
                <w:ilvl w:val="0"/>
                <w:numId w:val="3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krócej wyrażenia algebraiczne będące sumą lub różnicą jednomianów (P-R)</w:t>
            </w:r>
          </w:p>
          <w:p>
            <w:pPr>
              <w:pStyle w:val="Akapitzlist"/>
              <w:numPr>
                <w:ilvl w:val="0"/>
                <w:numId w:val="3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>
            <w:pPr>
              <w:pStyle w:val="Akapitzlist"/>
              <w:numPr>
                <w:ilvl w:val="0"/>
                <w:numId w:val="3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liczbową wyrażenia po jego przekształceniu (P-R)</w:t>
            </w:r>
          </w:p>
          <w:p>
            <w:pPr>
              <w:pStyle w:val="Akapitzlist"/>
              <w:numPr>
                <w:ilvl w:val="0"/>
                <w:numId w:val="3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doprowadzić równanie do prostszej postaci (P-R)</w:t>
            </w:r>
          </w:p>
          <w:p>
            <w:pPr>
              <w:pStyle w:val="Akapitzlist"/>
              <w:numPr>
                <w:ilvl w:val="0"/>
                <w:numId w:val="3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zadanie tekstowe za pomocą równania i rozwiązać je (P-R)</w:t>
            </w:r>
          </w:p>
          <w:p>
            <w:pPr>
              <w:pStyle w:val="Akapitzlist"/>
              <w:numPr>
                <w:ilvl w:val="0"/>
                <w:numId w:val="3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wyrazić treść zadania za pomocą równania (P-R)</w:t>
            </w:r>
          </w:p>
          <w:p>
            <w:pPr>
              <w:pStyle w:val="Akapitzlist"/>
              <w:numPr>
                <w:ilvl w:val="0"/>
                <w:numId w:val="32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za pomocą równania (P-R)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metodę równań równoważnych (R)</w:t>
            </w:r>
          </w:p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metodę równań równoważnych (R)</w:t>
              <w:tab/>
            </w:r>
          </w:p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obliczaniem wartości wyrażeń (R)</w:t>
            </w:r>
          </w:p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prostymi przekształceniami algebraicznymi (R)</w:t>
            </w:r>
          </w:p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równanie z przekształcaniem wyrażeń (R-D)</w:t>
              <w:tab/>
            </w:r>
          </w:p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przykład wyrażenia algebraicznego przyjmującego określoną wartość dla danych wartości występujących w nim niewiadomych (R-W)</w:t>
            </w:r>
          </w:p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przyporządkować równanie do podanego zdania (R-D)</w:t>
            </w:r>
          </w:p>
          <w:p>
            <w:pPr>
              <w:pStyle w:val="Akapitzlist"/>
              <w:numPr>
                <w:ilvl w:val="0"/>
                <w:numId w:val="33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uzupełnić równanie tak, aby spełniała je podana liczba (R)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zbudować wyrażenie algebraiczne (D)</w:t>
            </w:r>
          </w:p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budowaniem wyrażeń algebraicznych (D-W)</w:t>
            </w:r>
          </w:p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prostymi przekształceniami algebraicznymi (D-W)</w:t>
            </w:r>
          </w:p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zadanie w postaci równania (D-W)</w:t>
            </w:r>
          </w:p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równanie, które nie ma rozwiązania (D)</w:t>
            </w:r>
          </w:p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zadanie tekstowe za pomocą równania i odgadnąć jego rozwiązanie (D-W)</w:t>
            </w:r>
          </w:p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zadanie tekstowe za pomocą równania i rozwiązać to równanie (D-W)</w:t>
            </w:r>
          </w:p>
          <w:p>
            <w:pPr>
              <w:pStyle w:val="Akapitzlist"/>
              <w:numPr>
                <w:ilvl w:val="0"/>
                <w:numId w:val="34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288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6699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Dział 9. </w:t>
            </w:r>
            <w:r>
              <w:rPr>
                <w:rFonts w:cs="Calibri"/>
                <w:b/>
                <w:sz w:val="20"/>
                <w:szCs w:val="20"/>
              </w:rPr>
              <w:t>FIGURY PRZESTRZENNE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pojęcia: graniastosłup, ostrosłup, walec, stożek, kula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 charakteryzujące graniastosłup, ostrosłup, walec, stożek, kulę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cechy prostopadłościanu i sześcianu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siatki bryły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i rozumie sposób obliczania pola powierzchni prostopadłościanu i sześcianu (K-P)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cechy charakteryzujące graniastosłup prosty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nazwy graniastosłupów prostych     w zależności od podstawy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siatki graniastosłupa prostego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objętości figury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jednostki objętości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objętości prostopadłościanu i sześcianu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ostrosłupa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nazwy ostrosłupów w zależności od podstawy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cechy budowy ostrosłupa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siatki ostrosłupa (K)</w:t>
              <w:tab/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sposób obliczania pola powierzchni graniastosłupa prostego jako pole jego siatki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miary objętości jako liczby sześcianów jednostkowych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graniastosłup, ostrosłup, walec, stożek, kulę wśród innych brył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na modelach wielkości charakteryzujące bryłę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w prostopadłościanie ściany i krawędzie prostopadłe lub równoległe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w prostopadłościanie krawędzie o jednakowej długości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sumę długości krawędzi prostopadłościanu i sześcianu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na rysunku siatkę sześcianu i prostopadłościanu (K-P)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siatkę prostopadłościanu i sześcianu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powierzchni sześcianu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powierzchni prostopadłościanu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graniastosłup prosty wśród innych brył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w graniastosłupie krawędzie o jednakowej długości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siatkę graniastosłupa prostego (K-R)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objętość bryły na podstawie liczby sześcianów jednostkowych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objętość sześcianu o danej krawędzi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objętość prostopadłościanu o danych krawędziach (K-P)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objętość graniastosłupa prostego, którego dane są pole podstawy i wysokość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ostrosłup wśród innych brył (K)</w:t>
            </w:r>
          </w:p>
          <w:p>
            <w:pPr>
              <w:pStyle w:val="Akapitzlist"/>
              <w:numPr>
                <w:ilvl w:val="0"/>
                <w:numId w:val="35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siatkę ostrosłupa (K-D)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pola powierzchni graniastosłupa prostego (P)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zależności pomiędzy jednostkami objętości (P-R)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objętości graniastosłupa prostego (P)</w:t>
              <w:tab/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różnicę między polem powierzchni a objętością (P)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zasadę zamiany jednostek objętości (P)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sposób obliczania pola powierzchni jako pola siatki (P)</w:t>
              <w:tab/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rodzaj bryły na podstawie jej rzutu (P-R)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nawiązujące do elementów budowy danej bryły (P-R)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liczbę ścian, wierzchołków, krawędzi danego graniastosłupa (P)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w graniastosłupie ściany i krawędzie prostopadłe lub równoległe (P)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objętość graniastosłupa prostego, którego dane są elementy podstawy i wysokość (P-R)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zamienić jednostki objętości (P-R)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wyrażać w różnych jednostkach tę samą objętość (P-R)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graniastosłupa (P-R)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liczbę poszczególnych ścian, wierzchołków, krawędzi ostrosłupa (P)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sumę długości krawędzi ostrosłupa (P)</w:t>
            </w:r>
          </w:p>
          <w:p>
            <w:pPr>
              <w:pStyle w:val="Akapitzlist"/>
              <w:numPr>
                <w:ilvl w:val="0"/>
                <w:numId w:val="36"/>
              </w:numPr>
              <w:bidi w:val="0"/>
              <w:spacing w:lineRule="auto" w:line="240" w:before="0" w:after="0"/>
              <w:ind w:hanging="171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ostrosłupem (P-R)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czworościanu foremnego (R)</w:t>
              <w:tab/>
              <w:tab/>
            </w:r>
          </w:p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cechy bryły powstałej ze sklejenia kilku znanych brył (R-D)</w:t>
            </w:r>
          </w:p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dotyczące pola powierzchni prostopadłościanu złożonego z kilku sześcianów (R-D)</w:t>
            </w:r>
          </w:p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projektować siatki graniastosłupów w skali (R – D)</w:t>
            </w:r>
          </w:p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 zastosowaniem pól powierzchni graniastosłupów prostych (R-W)</w:t>
            </w:r>
          </w:p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zależności pomiędzy jednostkami objętości (R – D)</w:t>
              <w:tab/>
            </w:r>
          </w:p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związek pomiędzy jednostkami długości a jednostkami objętości (R)</w:t>
            </w:r>
          </w:p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objętościami prostopadłościanów (R)</w:t>
            </w:r>
          </w:p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>
            <w:pPr>
              <w:pStyle w:val="Akapitzlist"/>
              <w:numPr>
                <w:ilvl w:val="0"/>
                <w:numId w:val="37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jednostki objętości (R – D)</w:t>
            </w:r>
          </w:p>
          <w:p>
            <w:pPr>
              <w:pStyle w:val="Akapitzlist"/>
              <w:numPr>
                <w:ilvl w:val="0"/>
                <w:numId w:val="37"/>
              </w:numPr>
              <w:tabs>
                <w:tab w:val="clear" w:pos="709"/>
                <w:tab w:val="left" w:pos="7534" w:leader="none"/>
              </w:tabs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objętości graniastosłupów prostych o podanych siatkach (R – D)</w:t>
              <w:tab/>
            </w:r>
          </w:p>
          <w:p>
            <w:pPr>
              <w:pStyle w:val="Akapitzlist"/>
              <w:numPr>
                <w:ilvl w:val="0"/>
                <w:numId w:val="37"/>
              </w:numPr>
              <w:tabs>
                <w:tab w:val="clear" w:pos="709"/>
                <w:tab w:val="left" w:pos="7534" w:leader="none"/>
              </w:tabs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objętością graniastosłupa prostego (D-W)</w:t>
            </w:r>
          </w:p>
          <w:p>
            <w:pPr>
              <w:pStyle w:val="Akapitzlist"/>
              <w:numPr>
                <w:ilvl w:val="0"/>
                <w:numId w:val="3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ostrosłupem (D-W)</w:t>
            </w:r>
          </w:p>
          <w:p>
            <w:pPr>
              <w:pStyle w:val="Akapitzlist"/>
              <w:numPr>
                <w:ilvl w:val="0"/>
                <w:numId w:val="3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z treścią dotyczące ścian sześcianu (D – W)</w:t>
            </w:r>
          </w:p>
          <w:p>
            <w:pPr>
              <w:pStyle w:val="Akapitzlist"/>
              <w:numPr>
                <w:ilvl w:val="0"/>
                <w:numId w:val="3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określać cechy graniastosłupa znajdującego się na rysunku (D)</w:t>
            </w:r>
          </w:p>
          <w:p>
            <w:pPr>
              <w:pStyle w:val="Akapitzlist"/>
              <w:numPr>
                <w:ilvl w:val="0"/>
                <w:numId w:val="3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pola powierzchni graniastosłupów złożonych z sześcianów (D)</w:t>
            </w:r>
          </w:p>
          <w:p>
            <w:pPr>
              <w:pStyle w:val="Akapitzlist"/>
              <w:numPr>
                <w:ilvl w:val="0"/>
                <w:numId w:val="3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zamianę jednostek objętości w zadaniach tekstowych (D – W)</w:t>
            </w:r>
          </w:p>
          <w:p>
            <w:pPr>
              <w:pStyle w:val="Akapitzlist"/>
              <w:numPr>
                <w:ilvl w:val="0"/>
                <w:numId w:val="38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CC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celującą (oprócz spełnienia wymagań na ocenę bardzo dobrą). Uczeń:</w:t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Akapitzlist"/>
              <w:numPr>
                <w:ilvl w:val="0"/>
                <w:numId w:val="3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dotyczące prostopadłościanu i sześcianu (W)</w:t>
            </w:r>
          </w:p>
          <w:p>
            <w:pPr>
              <w:pStyle w:val="Akapitzlist"/>
              <w:numPr>
                <w:ilvl w:val="0"/>
                <w:numId w:val="3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oceniać możliwość zbudowania z prostopadłościanów zadanego graniastosłupa (W)</w:t>
            </w:r>
          </w:p>
          <w:p>
            <w:pPr>
              <w:pStyle w:val="Akapitzlist"/>
              <w:numPr>
                <w:ilvl w:val="0"/>
                <w:numId w:val="3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w graniastosłupie ściany i krawędzie prostopadłe lub równoległe (R-W)</w:t>
            </w:r>
          </w:p>
          <w:p>
            <w:pPr>
              <w:pStyle w:val="Akapitzlist"/>
              <w:numPr>
                <w:ilvl w:val="0"/>
                <w:numId w:val="39"/>
              </w:numPr>
              <w:bidi w:val="0"/>
              <w:spacing w:lineRule="auto" w:line="240" w:before="0" w:after="0"/>
              <w:ind w:hanging="142" w:start="171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rozpoznawać siatki graniastosłupów (W)</w:t>
            </w:r>
          </w:p>
        </w:tc>
      </w:tr>
    </w:tbl>
    <w:p>
      <w:pPr>
        <w:pStyle w:val="BodyText"/>
        <w:bidi w:val="0"/>
        <w:spacing w:lineRule="auto" w:line="228" w:before="227" w:after="0"/>
        <w:ind w:start="234" w:end="775"/>
        <w:jc w:val="start"/>
        <w:rPr>
          <w:b/>
          <w:bCs/>
        </w:rPr>
      </w:pPr>
      <w:r>
        <w:rPr>
          <w:b/>
          <w:bCs/>
        </w:rPr>
      </w:r>
    </w:p>
    <w:p>
      <w:pPr>
        <w:pStyle w:val="BodyText"/>
        <w:bidi w:val="0"/>
        <w:spacing w:lineRule="auto" w:line="228" w:before="227" w:after="0"/>
        <w:ind w:start="234" w:end="775"/>
        <w:jc w:val="start"/>
        <w:rPr>
          <w:b/>
          <w:bCs/>
        </w:rPr>
      </w:pPr>
      <w:r>
        <w:rPr>
          <w:b/>
          <w:bCs/>
        </w:rPr>
      </w:r>
    </w:p>
    <w:p>
      <w:pPr>
        <w:pStyle w:val="BodyText"/>
        <w:bidi w:val="0"/>
        <w:spacing w:lineRule="auto" w:line="228" w:before="227" w:after="0"/>
        <w:ind w:start="234" w:end="775"/>
        <w:jc w:val="start"/>
        <w:rPr>
          <w:b/>
          <w:bCs/>
        </w:rPr>
      </w:pPr>
      <w:r>
        <w:rPr>
          <w:b/>
          <w:bCs/>
        </w:rPr>
      </w:r>
    </w:p>
    <w:p>
      <w:pPr>
        <w:pStyle w:val="BodyText"/>
        <w:bidi w:val="0"/>
        <w:spacing w:lineRule="auto" w:line="228" w:before="227" w:after="0"/>
        <w:ind w:start="234" w:end="775"/>
        <w:jc w:val="start"/>
        <w:rPr>
          <w:b/>
          <w:bCs/>
        </w:rPr>
      </w:pPr>
      <w:r>
        <w:rPr>
          <w:b/>
          <w:bCs/>
        </w:rPr>
        <w:t>2) Sposoby sprawdzania osiągnięć edukacyjnych</w:t>
      </w:r>
    </w:p>
    <w:p>
      <w:pPr>
        <w:pStyle w:val="Normal"/>
        <w:bidi w:val="0"/>
        <w:jc w:val="start"/>
        <w:rPr/>
      </w:pPr>
      <w:r>
        <w:rPr/>
        <w:t>1. praca i aktywność na lekcji;</w:t>
      </w:r>
    </w:p>
    <w:p>
      <w:pPr>
        <w:pStyle w:val="Normal"/>
        <w:bidi w:val="0"/>
        <w:jc w:val="start"/>
        <w:rPr/>
      </w:pPr>
      <w:r>
        <w:rPr/>
        <w:t>2. odpowiedź ustna;</w:t>
      </w:r>
    </w:p>
    <w:p>
      <w:pPr>
        <w:pStyle w:val="Normal"/>
        <w:bidi w:val="0"/>
        <w:jc w:val="start"/>
        <w:rPr/>
      </w:pPr>
      <w:r>
        <w:rPr/>
        <w:t>3. kartkówka;</w:t>
      </w:r>
    </w:p>
    <w:p>
      <w:pPr>
        <w:pStyle w:val="Normal"/>
        <w:bidi w:val="0"/>
        <w:jc w:val="start"/>
        <w:rPr/>
      </w:pPr>
      <w:r>
        <w:rPr/>
        <w:t>4. sprawdzian lub praca klasowa;</w:t>
      </w:r>
    </w:p>
    <w:p>
      <w:pPr>
        <w:pStyle w:val="Normal"/>
        <w:bidi w:val="0"/>
        <w:jc w:val="start"/>
        <w:rPr/>
      </w:pPr>
      <w:r>
        <w:rPr/>
        <w:t>5. zadania edukacyjne np. karty pracy;</w:t>
      </w:r>
    </w:p>
    <w:p>
      <w:pPr>
        <w:pStyle w:val="Normal"/>
        <w:bidi w:val="0"/>
        <w:jc w:val="start"/>
        <w:rPr/>
      </w:pPr>
      <w:r>
        <w:rPr/>
        <w:t>6. projekty indywidualne i grupowe.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BodyText"/>
        <w:bidi w:val="0"/>
        <w:spacing w:lineRule="auto" w:line="228" w:before="227" w:after="0"/>
        <w:ind w:start="234" w:end="775"/>
        <w:jc w:val="start"/>
        <w:rPr>
          <w:b/>
          <w:bCs/>
        </w:rPr>
      </w:pPr>
      <w:r>
        <w:rPr>
          <w:b/>
          <w:bCs/>
        </w:rPr>
        <w:t>3) Warunki i tryb otrzymania wyższej niż przewidywana rocznej oceny klasyfikacyjnej z techniki</w:t>
      </w:r>
    </w:p>
    <w:p>
      <w:pPr>
        <w:pStyle w:val="BodyText"/>
        <w:bidi w:val="0"/>
        <w:spacing w:lineRule="auto" w:line="228" w:before="227" w:after="0"/>
        <w:ind w:start="234" w:end="775"/>
        <w:jc w:val="start"/>
        <w:rPr/>
      </w:pPr>
      <w:r>
        <w:rPr/>
        <w:t>Warunki i tryb uzyskiwania wyższej niż przewidywana rocznej oceny klasyfikacyjnej zostały określone w §33a Statutu Szkoły.</w:t>
      </w:r>
    </w:p>
    <w:p>
      <w:pPr>
        <w:pStyle w:val="BodyText"/>
        <w:bidi w:val="0"/>
        <w:spacing w:lineRule="auto" w:line="228" w:before="227" w:after="0"/>
        <w:ind w:start="234" w:end="775"/>
        <w:jc w:val="end"/>
        <w:rPr/>
      </w:pPr>
      <w:r>
        <w:rPr/>
        <w:t>Zespół nauczycieli matematyki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Symbol">
    <w:charset w:val="ee" w:characterSet="windows-1250"/>
    <w:family w:val="roman"/>
    <w:pitch w:val="variable"/>
  </w:font>
  <w:font w:name="Courier New">
    <w:charset w:val="ee" w:characterSet="windows-1250"/>
    <w:family w:val="auto"/>
    <w:pitch w:val="variable"/>
  </w:font>
  <w:font w:name="Wingdings">
    <w:charset w:val="ee" w:characterSet="windows-1250"/>
    <w:family w:val="auto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Times">
    <w:altName w:val="Times New Roman"/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5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6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7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8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9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0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5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6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7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8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9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0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5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6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7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8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9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WW8Num72z0">
    <w:name w:val="WW8Num72z0"/>
    <w:qFormat/>
    <w:rPr>
      <w:rFonts w:ascii="Symbol" w:hAnsi="Symbol" w:cs="Symbol"/>
    </w:rPr>
  </w:style>
  <w:style w:type="character" w:styleId="WW8Num72z1">
    <w:name w:val="WW8Num72z1"/>
    <w:qFormat/>
    <w:rPr>
      <w:rFonts w:ascii="Courier New" w:hAnsi="Courier New" w:cs="Courier New"/>
    </w:rPr>
  </w:style>
  <w:style w:type="character" w:styleId="WW8Num72z2">
    <w:name w:val="WW8Num72z2"/>
    <w:qFormat/>
    <w:rPr>
      <w:rFonts w:ascii="Wingdings" w:hAnsi="Wingdings" w:cs="Wingdings"/>
    </w:rPr>
  </w:style>
  <w:style w:type="character" w:styleId="WW8Num108z0">
    <w:name w:val="WW8Num108z0"/>
    <w:qFormat/>
    <w:rPr>
      <w:rFonts w:ascii="Symbol" w:hAnsi="Symbol" w:cs="Symbol"/>
    </w:rPr>
  </w:style>
  <w:style w:type="character" w:styleId="WW8Num108z1">
    <w:name w:val="WW8Num108z1"/>
    <w:qFormat/>
    <w:rPr>
      <w:rFonts w:ascii="Courier New" w:hAnsi="Courier New" w:cs="Courier New"/>
    </w:rPr>
  </w:style>
  <w:style w:type="character" w:styleId="WW8Num108z2">
    <w:name w:val="WW8Num108z2"/>
    <w:qFormat/>
    <w:rPr>
      <w:rFonts w:ascii="Wingdings" w:hAnsi="Wingdings" w:cs="Wingdings"/>
    </w:rPr>
  </w:style>
  <w:style w:type="character" w:styleId="WW8Num98z0">
    <w:name w:val="WW8Num98z0"/>
    <w:qFormat/>
    <w:rPr>
      <w:rFonts w:ascii="Symbol" w:hAnsi="Symbol" w:cs="Symbol"/>
    </w:rPr>
  </w:style>
  <w:style w:type="character" w:styleId="WW8Num98z1">
    <w:name w:val="WW8Num98z1"/>
    <w:qFormat/>
    <w:rPr>
      <w:rFonts w:ascii="Courier New" w:hAnsi="Courier New" w:cs="Courier New"/>
    </w:rPr>
  </w:style>
  <w:style w:type="character" w:styleId="WW8Num98z2">
    <w:name w:val="WW8Num98z2"/>
    <w:qFormat/>
    <w:rPr>
      <w:rFonts w:ascii="Wingdings" w:hAnsi="Wingdings" w:cs="Wingdings"/>
    </w:rPr>
  </w:style>
  <w:style w:type="character" w:styleId="WW8Num65z0">
    <w:name w:val="WW8Num65z0"/>
    <w:qFormat/>
    <w:rPr>
      <w:rFonts w:ascii="Symbol" w:hAnsi="Symbol" w:cs="Symbol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2">
    <w:name w:val="WW8Num65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68z0">
    <w:name w:val="WW8Num68z0"/>
    <w:qFormat/>
    <w:rPr>
      <w:rFonts w:ascii="Symbol" w:hAnsi="Symbol" w:cs="Symbol"/>
    </w:rPr>
  </w:style>
  <w:style w:type="character" w:styleId="WW8Num68z1">
    <w:name w:val="WW8Num68z1"/>
    <w:qFormat/>
    <w:rPr>
      <w:rFonts w:ascii="Courier New" w:hAnsi="Courier New" w:cs="Courier New"/>
    </w:rPr>
  </w:style>
  <w:style w:type="character" w:styleId="WW8Num68z2">
    <w:name w:val="WW8Num68z2"/>
    <w:qFormat/>
    <w:rPr>
      <w:rFonts w:ascii="Wingdings" w:hAnsi="Wingdings" w:cs="Wingdings"/>
    </w:rPr>
  </w:style>
  <w:style w:type="character" w:styleId="WW8Num112z0">
    <w:name w:val="WW8Num112z0"/>
    <w:qFormat/>
    <w:rPr>
      <w:rFonts w:ascii="Symbol" w:hAnsi="Symbol" w:cs="Symbol"/>
    </w:rPr>
  </w:style>
  <w:style w:type="character" w:styleId="WW8Num112z1">
    <w:name w:val="WW8Num112z1"/>
    <w:qFormat/>
    <w:rPr>
      <w:rFonts w:ascii="Courier New" w:hAnsi="Courier New" w:cs="Courier New"/>
    </w:rPr>
  </w:style>
  <w:style w:type="character" w:styleId="WW8Num112z2">
    <w:name w:val="WW8Num112z2"/>
    <w:qFormat/>
    <w:rPr>
      <w:rFonts w:ascii="Wingdings" w:hAnsi="Wingdings" w:cs="Wingdings"/>
    </w:rPr>
  </w:style>
  <w:style w:type="character" w:styleId="WW8Num94z0">
    <w:name w:val="WW8Num94z0"/>
    <w:qFormat/>
    <w:rPr>
      <w:rFonts w:ascii="Symbol" w:hAnsi="Symbol" w:cs="Symbol"/>
    </w:rPr>
  </w:style>
  <w:style w:type="character" w:styleId="WW8Num94z1">
    <w:name w:val="WW8Num94z1"/>
    <w:qFormat/>
    <w:rPr>
      <w:rFonts w:ascii="Courier New" w:hAnsi="Courier New" w:cs="Courier New"/>
    </w:rPr>
  </w:style>
  <w:style w:type="character" w:styleId="WW8Num94z2">
    <w:name w:val="WW8Num94z2"/>
    <w:qFormat/>
    <w:rPr>
      <w:rFonts w:ascii="Wingdings" w:hAnsi="Wingdings" w:cs="Wingdings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9z0">
    <w:name w:val="WW8Num49z0"/>
    <w:qFormat/>
    <w:rPr>
      <w:rFonts w:ascii="Symbol" w:hAnsi="Symbol" w:cs="Symbol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57z0">
    <w:name w:val="WW8Num57z0"/>
    <w:qFormat/>
    <w:rPr>
      <w:rFonts w:ascii="Symbol" w:hAnsi="Symbol" w:cs="Symbol"/>
    </w:rPr>
  </w:style>
  <w:style w:type="character" w:styleId="WW8Num57z1">
    <w:name w:val="WW8Num57z1"/>
    <w:qFormat/>
    <w:rPr>
      <w:rFonts w:ascii="Courier New" w:hAnsi="Courier New" w:cs="Courier New"/>
    </w:rPr>
  </w:style>
  <w:style w:type="character" w:styleId="WW8Num57z2">
    <w:name w:val="WW8Num57z2"/>
    <w:qFormat/>
    <w:rPr>
      <w:rFonts w:ascii="Wingdings" w:hAnsi="Wingdings" w:cs="Wingdings"/>
    </w:rPr>
  </w:style>
  <w:style w:type="character" w:styleId="WW8Num75z0">
    <w:name w:val="WW8Num75z0"/>
    <w:qFormat/>
    <w:rPr>
      <w:rFonts w:ascii="Symbol" w:hAnsi="Symbol" w:cs="Symbol"/>
    </w:rPr>
  </w:style>
  <w:style w:type="character" w:styleId="WW8Num75z1">
    <w:name w:val="WW8Num75z1"/>
    <w:qFormat/>
    <w:rPr>
      <w:rFonts w:ascii="Courier New" w:hAnsi="Courier New" w:cs="Courier New"/>
    </w:rPr>
  </w:style>
  <w:style w:type="character" w:styleId="WW8Num75z2">
    <w:name w:val="WW8Num75z2"/>
    <w:qFormat/>
    <w:rPr>
      <w:rFonts w:ascii="Wingdings" w:hAnsi="Wingdings" w:cs="Wingdings"/>
    </w:rPr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129z0">
    <w:name w:val="WW8Num129z0"/>
    <w:qFormat/>
    <w:rPr>
      <w:rFonts w:ascii="Symbol" w:hAnsi="Symbol" w:cs="Symbol"/>
    </w:rPr>
  </w:style>
  <w:style w:type="character" w:styleId="WW8Num129z1">
    <w:name w:val="WW8Num129z1"/>
    <w:qFormat/>
    <w:rPr>
      <w:rFonts w:ascii="Courier New" w:hAnsi="Courier New" w:cs="Courier New"/>
    </w:rPr>
  </w:style>
  <w:style w:type="character" w:styleId="WW8Num129z2">
    <w:name w:val="WW8Num129z2"/>
    <w:qFormat/>
    <w:rPr>
      <w:rFonts w:ascii="Wingdings" w:hAnsi="Wingdings" w:cs="Wingdings"/>
    </w:rPr>
  </w:style>
  <w:style w:type="character" w:styleId="WW8Num107z0">
    <w:name w:val="WW8Num107z0"/>
    <w:qFormat/>
    <w:rPr>
      <w:rFonts w:ascii="Symbol" w:hAnsi="Symbol" w:cs="Symbol"/>
    </w:rPr>
  </w:style>
  <w:style w:type="character" w:styleId="WW8Num107z1">
    <w:name w:val="WW8Num107z1"/>
    <w:qFormat/>
    <w:rPr>
      <w:rFonts w:ascii="Courier New" w:hAnsi="Courier New" w:cs="Courier New"/>
    </w:rPr>
  </w:style>
  <w:style w:type="character" w:styleId="WW8Num107z2">
    <w:name w:val="WW8Num107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135z0">
    <w:name w:val="WW8Num135z0"/>
    <w:qFormat/>
    <w:rPr>
      <w:rFonts w:ascii="Symbol" w:hAnsi="Symbol" w:cs="Symbol"/>
    </w:rPr>
  </w:style>
  <w:style w:type="character" w:styleId="WW8Num135z1">
    <w:name w:val="WW8Num135z1"/>
    <w:qFormat/>
    <w:rPr>
      <w:rFonts w:ascii="Courier New" w:hAnsi="Courier New" w:cs="Courier New"/>
    </w:rPr>
  </w:style>
  <w:style w:type="character" w:styleId="WW8Num135z2">
    <w:name w:val="WW8Num135z2"/>
    <w:qFormat/>
    <w:rPr>
      <w:rFonts w:ascii="Wingdings" w:hAnsi="Wingdings" w:cs="Wingdings"/>
    </w:rPr>
  </w:style>
  <w:style w:type="character" w:styleId="WW8Num55z0">
    <w:name w:val="WW8Num55z0"/>
    <w:qFormat/>
    <w:rPr>
      <w:rFonts w:ascii="Symbol" w:hAnsi="Symbol" w:cs="Symbol"/>
    </w:rPr>
  </w:style>
  <w:style w:type="character" w:styleId="WW8Num55z1">
    <w:name w:val="WW8Num55z1"/>
    <w:qFormat/>
    <w:rPr>
      <w:rFonts w:ascii="Courier New" w:hAnsi="Courier New" w:cs="Courier New"/>
    </w:rPr>
  </w:style>
  <w:style w:type="character" w:styleId="WW8Num55z2">
    <w:name w:val="WW8Num55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121z0">
    <w:name w:val="WW8Num121z0"/>
    <w:qFormat/>
    <w:rPr>
      <w:rFonts w:ascii="Symbol" w:hAnsi="Symbol" w:cs="Symbol"/>
    </w:rPr>
  </w:style>
  <w:style w:type="character" w:styleId="WW8Num121z1">
    <w:name w:val="WW8Num121z1"/>
    <w:qFormat/>
    <w:rPr>
      <w:rFonts w:ascii="Courier New" w:hAnsi="Courier New" w:cs="Courier New"/>
    </w:rPr>
  </w:style>
  <w:style w:type="character" w:styleId="WW8Num121z2">
    <w:name w:val="WW8Num121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85z0">
    <w:name w:val="WW8Num85z0"/>
    <w:qFormat/>
    <w:rPr>
      <w:rFonts w:ascii="Symbol" w:hAnsi="Symbol" w:cs="Symbol"/>
    </w:rPr>
  </w:style>
  <w:style w:type="character" w:styleId="WW8Num85z1">
    <w:name w:val="WW8Num85z1"/>
    <w:qFormat/>
    <w:rPr>
      <w:rFonts w:ascii="Courier New" w:hAnsi="Courier New" w:cs="Courier New"/>
    </w:rPr>
  </w:style>
  <w:style w:type="character" w:styleId="WW8Num85z2">
    <w:name w:val="WW8Num85z2"/>
    <w:qFormat/>
    <w:rPr>
      <w:rFonts w:ascii="Wingdings" w:hAnsi="Wingdings" w:cs="Wingdings"/>
    </w:rPr>
  </w:style>
  <w:style w:type="character" w:styleId="WW8Num87z0">
    <w:name w:val="WW8Num87z0"/>
    <w:qFormat/>
    <w:rPr>
      <w:rFonts w:ascii="Symbol" w:hAnsi="Symbol" w:cs="Symbol"/>
    </w:rPr>
  </w:style>
  <w:style w:type="character" w:styleId="WW8Num87z1">
    <w:name w:val="WW8Num87z1"/>
    <w:qFormat/>
    <w:rPr>
      <w:rFonts w:ascii="Courier New" w:hAnsi="Courier New" w:cs="Courier New"/>
    </w:rPr>
  </w:style>
  <w:style w:type="character" w:styleId="WW8Num87z2">
    <w:name w:val="WW8Num87z2"/>
    <w:qFormat/>
    <w:rPr>
      <w:rFonts w:ascii="Wingdings" w:hAnsi="Wingdings" w:cs="Wingdings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82z0">
    <w:name w:val="WW8Num82z0"/>
    <w:qFormat/>
    <w:rPr>
      <w:rFonts w:ascii="Symbol" w:hAnsi="Symbol" w:cs="Symbol"/>
    </w:rPr>
  </w:style>
  <w:style w:type="character" w:styleId="WW8Num82z1">
    <w:name w:val="WW8Num82z1"/>
    <w:qFormat/>
    <w:rPr>
      <w:rFonts w:ascii="Courier New" w:hAnsi="Courier New" w:cs="Courier New"/>
    </w:rPr>
  </w:style>
  <w:style w:type="character" w:styleId="WW8Num82z2">
    <w:name w:val="WW8Num82z2"/>
    <w:qFormat/>
    <w:rPr>
      <w:rFonts w:ascii="Wingdings" w:hAnsi="Wingdings" w:cs="Wingdings"/>
    </w:rPr>
  </w:style>
  <w:style w:type="character" w:styleId="WW8Num125z0">
    <w:name w:val="WW8Num125z0"/>
    <w:qFormat/>
    <w:rPr>
      <w:rFonts w:ascii="Symbol" w:hAnsi="Symbol" w:cs="Symbol"/>
    </w:rPr>
  </w:style>
  <w:style w:type="character" w:styleId="WW8Num125z1">
    <w:name w:val="WW8Num125z1"/>
    <w:qFormat/>
    <w:rPr>
      <w:rFonts w:ascii="Courier New" w:hAnsi="Courier New" w:cs="Courier New"/>
    </w:rPr>
  </w:style>
  <w:style w:type="character" w:styleId="WW8Num125z2">
    <w:name w:val="WW8Num125z2"/>
    <w:qFormat/>
    <w:rPr>
      <w:rFonts w:ascii="Wingdings" w:hAnsi="Wingdings" w:cs="Wingdings"/>
    </w:rPr>
  </w:style>
  <w:style w:type="character" w:styleId="WW8Num92z0">
    <w:name w:val="WW8Num92z0"/>
    <w:qFormat/>
    <w:rPr>
      <w:rFonts w:ascii="Symbol" w:hAnsi="Symbol" w:cs="Symbol"/>
    </w:rPr>
  </w:style>
  <w:style w:type="character" w:styleId="WW8Num92z1">
    <w:name w:val="WW8Num92z1"/>
    <w:qFormat/>
    <w:rPr>
      <w:rFonts w:ascii="Courier New" w:hAnsi="Courier New" w:cs="Courier New"/>
    </w:rPr>
  </w:style>
  <w:style w:type="character" w:styleId="WW8Num92z2">
    <w:name w:val="WW8Num92z2"/>
    <w:qFormat/>
    <w:rPr>
      <w:rFonts w:ascii="Wingdings" w:hAnsi="Wingdings" w:cs="Wingdings"/>
    </w:rPr>
  </w:style>
  <w:style w:type="character" w:styleId="WW8Num93z0">
    <w:name w:val="WW8Num93z0"/>
    <w:qFormat/>
    <w:rPr>
      <w:rFonts w:ascii="Symbol" w:hAnsi="Symbol" w:cs="Symbol"/>
    </w:rPr>
  </w:style>
  <w:style w:type="character" w:styleId="WW8Num93z1">
    <w:name w:val="WW8Num93z1"/>
    <w:qFormat/>
    <w:rPr>
      <w:rFonts w:ascii="Courier New" w:hAnsi="Courier New" w:cs="Courier New"/>
    </w:rPr>
  </w:style>
  <w:style w:type="character" w:styleId="WW8Num93z2">
    <w:name w:val="WW8Num93z2"/>
    <w:qFormat/>
    <w:rPr>
      <w:rFonts w:ascii="Wingdings" w:hAnsi="Wingdings" w:cs="Wingdings"/>
    </w:rPr>
  </w:style>
  <w:style w:type="character" w:styleId="WW8Num115z0">
    <w:name w:val="WW8Num115z0"/>
    <w:qFormat/>
    <w:rPr>
      <w:rFonts w:ascii="Symbol" w:hAnsi="Symbol" w:cs="Symbol"/>
    </w:rPr>
  </w:style>
  <w:style w:type="character" w:styleId="WW8Num115z1">
    <w:name w:val="WW8Num115z1"/>
    <w:qFormat/>
    <w:rPr>
      <w:rFonts w:ascii="Courier New" w:hAnsi="Courier New" w:cs="Courier New"/>
    </w:rPr>
  </w:style>
  <w:style w:type="character" w:styleId="WW8Num115z2">
    <w:name w:val="WW8Num115z2"/>
    <w:qFormat/>
    <w:rPr>
      <w:rFonts w:ascii="Wingdings" w:hAnsi="Wingdings" w:cs="Wingdings"/>
    </w:rPr>
  </w:style>
  <w:style w:type="character" w:styleId="WW8Num86z0">
    <w:name w:val="WW8Num86z0"/>
    <w:qFormat/>
    <w:rPr>
      <w:rFonts w:ascii="Symbol" w:hAnsi="Symbol" w:cs="Symbol"/>
    </w:rPr>
  </w:style>
  <w:style w:type="character" w:styleId="WW8Num86z1">
    <w:name w:val="WW8Num86z1"/>
    <w:qFormat/>
    <w:rPr>
      <w:rFonts w:ascii="Courier New" w:hAnsi="Courier New" w:cs="Courier New"/>
    </w:rPr>
  </w:style>
  <w:style w:type="character" w:styleId="WW8Num86z2">
    <w:name w:val="WW8Num86z2"/>
    <w:qFormat/>
    <w:rPr>
      <w:rFonts w:ascii="Wingdings" w:hAnsi="Wingdings" w:cs="Wingdings"/>
    </w:rPr>
  </w:style>
  <w:style w:type="character" w:styleId="WW8Num74z0">
    <w:name w:val="WW8Num74z0"/>
    <w:qFormat/>
    <w:rPr>
      <w:rFonts w:ascii="Symbol" w:hAnsi="Symbol" w:cs="Symbol"/>
    </w:rPr>
  </w:style>
  <w:style w:type="character" w:styleId="WW8Num74z1">
    <w:name w:val="WW8Num74z1"/>
    <w:qFormat/>
    <w:rPr>
      <w:rFonts w:ascii="Courier New" w:hAnsi="Courier New" w:cs="Courier New"/>
    </w:rPr>
  </w:style>
  <w:style w:type="character" w:styleId="WW8Num74z2">
    <w:name w:val="WW8Num7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63z0">
    <w:name w:val="WW8Num63z0"/>
    <w:qFormat/>
    <w:rPr>
      <w:rFonts w:ascii="Symbol" w:hAnsi="Symbol" w:cs="Symbol"/>
    </w:rPr>
  </w:style>
  <w:style w:type="character" w:styleId="WW8Num63z1">
    <w:name w:val="WW8Num63z1"/>
    <w:qFormat/>
    <w:rPr>
      <w:rFonts w:ascii="Courier New" w:hAnsi="Courier New" w:cs="Courier New"/>
    </w:rPr>
  </w:style>
  <w:style w:type="character" w:styleId="WW8Num63z2">
    <w:name w:val="WW8Num63z2"/>
    <w:qFormat/>
    <w:rPr>
      <w:rFonts w:ascii="Wingdings" w:hAnsi="Wingdings" w:cs="Wingdings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110z0">
    <w:name w:val="WW8Num110z0"/>
    <w:qFormat/>
    <w:rPr>
      <w:rFonts w:ascii="Symbol" w:hAnsi="Symbol" w:cs="Symbol"/>
    </w:rPr>
  </w:style>
  <w:style w:type="character" w:styleId="WW8Num110z1">
    <w:name w:val="WW8Num110z1"/>
    <w:qFormat/>
    <w:rPr>
      <w:rFonts w:ascii="Courier New" w:hAnsi="Courier New" w:cs="Courier New"/>
    </w:rPr>
  </w:style>
  <w:style w:type="character" w:styleId="WW8Num110z2">
    <w:name w:val="WW8Num110z2"/>
    <w:qFormat/>
    <w:rPr>
      <w:rFonts w:ascii="Wingdings" w:hAnsi="Wingdings" w:cs="Wingdings"/>
    </w:rPr>
  </w:style>
  <w:style w:type="character" w:styleId="WW8Num130z0">
    <w:name w:val="WW8Num130z0"/>
    <w:qFormat/>
    <w:rPr>
      <w:rFonts w:ascii="Symbol" w:hAnsi="Symbol" w:cs="Symbol"/>
    </w:rPr>
  </w:style>
  <w:style w:type="character" w:styleId="WW8Num130z1">
    <w:name w:val="WW8Num130z1"/>
    <w:qFormat/>
    <w:rPr>
      <w:rFonts w:ascii="Courier New" w:hAnsi="Courier New" w:cs="Courier New"/>
    </w:rPr>
  </w:style>
  <w:style w:type="character" w:styleId="WW8Num130z2">
    <w:name w:val="WW8Num130z2"/>
    <w:qFormat/>
    <w:rPr>
      <w:rFonts w:ascii="Wingdings" w:hAnsi="Wingdings" w:cs="Wingding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star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zh-CN" w:bidi="ar-SA"/>
    </w:rPr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Akapitzlist">
    <w:name w:val="Akapit z listą"/>
    <w:basedOn w:val="Normal"/>
    <w:qFormat/>
    <w:pPr>
      <w:spacing w:before="0" w:after="160"/>
      <w:ind w:hanging="0" w:start="720" w:end="0"/>
      <w:contextualSpacing/>
    </w:pPr>
    <w:rPr/>
  </w:style>
  <w:style w:type="numbering" w:styleId="WW8Num72">
    <w:name w:val="WW8Num72"/>
    <w:qFormat/>
  </w:style>
  <w:style w:type="numbering" w:styleId="WW8Num108">
    <w:name w:val="WW8Num108"/>
    <w:qFormat/>
  </w:style>
  <w:style w:type="numbering" w:styleId="WW8Num98">
    <w:name w:val="WW8Num98"/>
    <w:qFormat/>
  </w:style>
  <w:style w:type="numbering" w:styleId="WW8Num65">
    <w:name w:val="WW8Num65"/>
    <w:qFormat/>
  </w:style>
  <w:style w:type="numbering" w:styleId="WW8Num23">
    <w:name w:val="WW8Num23"/>
    <w:qFormat/>
  </w:style>
  <w:style w:type="numbering" w:styleId="WW8Num68">
    <w:name w:val="WW8Num68"/>
    <w:qFormat/>
  </w:style>
  <w:style w:type="numbering" w:styleId="WW8Num112">
    <w:name w:val="WW8Num112"/>
    <w:qFormat/>
  </w:style>
  <w:style w:type="numbering" w:styleId="WW8Num94">
    <w:name w:val="WW8Num94"/>
    <w:qFormat/>
  </w:style>
  <w:style w:type="numbering" w:styleId="WW8Num39">
    <w:name w:val="WW8Num39"/>
    <w:qFormat/>
  </w:style>
  <w:style w:type="numbering" w:styleId="WW8Num49">
    <w:name w:val="WW8Num49"/>
    <w:qFormat/>
  </w:style>
  <w:style w:type="numbering" w:styleId="WW8Num57">
    <w:name w:val="WW8Num57"/>
    <w:qFormat/>
  </w:style>
  <w:style w:type="numbering" w:styleId="WW8Num75">
    <w:name w:val="WW8Num75"/>
    <w:qFormat/>
  </w:style>
  <w:style w:type="numbering" w:styleId="WW8Num51">
    <w:name w:val="WW8Num51"/>
    <w:qFormat/>
  </w:style>
  <w:style w:type="numbering" w:styleId="WW8Num2">
    <w:name w:val="WW8Num2"/>
    <w:qFormat/>
  </w:style>
  <w:style w:type="numbering" w:styleId="WW8Num129">
    <w:name w:val="WW8Num129"/>
    <w:qFormat/>
  </w:style>
  <w:style w:type="numbering" w:styleId="WW8Num107">
    <w:name w:val="WW8Num107"/>
    <w:qFormat/>
  </w:style>
  <w:style w:type="numbering" w:styleId="WW8Num36">
    <w:name w:val="WW8Num36"/>
    <w:qFormat/>
  </w:style>
  <w:style w:type="numbering" w:styleId="WW8Num135">
    <w:name w:val="WW8Num135"/>
    <w:qFormat/>
  </w:style>
  <w:style w:type="numbering" w:styleId="WW8Num55">
    <w:name w:val="WW8Num55"/>
    <w:qFormat/>
  </w:style>
  <w:style w:type="numbering" w:styleId="WW8Num48">
    <w:name w:val="WW8Num48"/>
    <w:qFormat/>
  </w:style>
  <w:style w:type="numbering" w:styleId="WW8Num121">
    <w:name w:val="WW8Num121"/>
    <w:qFormat/>
  </w:style>
  <w:style w:type="numbering" w:styleId="WW8Num4">
    <w:name w:val="WW8Num4"/>
    <w:qFormat/>
  </w:style>
  <w:style w:type="numbering" w:styleId="WW8Num85">
    <w:name w:val="WW8Num85"/>
    <w:qFormat/>
  </w:style>
  <w:style w:type="numbering" w:styleId="WW8Num87">
    <w:name w:val="WW8Num87"/>
    <w:qFormat/>
  </w:style>
  <w:style w:type="numbering" w:styleId="WW8Num44">
    <w:name w:val="WW8Num44"/>
    <w:qFormat/>
  </w:style>
  <w:style w:type="numbering" w:styleId="WW8Num82">
    <w:name w:val="WW8Num82"/>
    <w:qFormat/>
  </w:style>
  <w:style w:type="numbering" w:styleId="WW8Num125">
    <w:name w:val="WW8Num125"/>
    <w:qFormat/>
  </w:style>
  <w:style w:type="numbering" w:styleId="WW8Num92">
    <w:name w:val="WW8Num92"/>
    <w:qFormat/>
  </w:style>
  <w:style w:type="numbering" w:styleId="WW8Num93">
    <w:name w:val="WW8Num93"/>
    <w:qFormat/>
  </w:style>
  <w:style w:type="numbering" w:styleId="WW8Num115">
    <w:name w:val="WW8Num115"/>
    <w:qFormat/>
  </w:style>
  <w:style w:type="numbering" w:styleId="WW8Num86">
    <w:name w:val="WW8Num86"/>
    <w:qFormat/>
  </w:style>
  <w:style w:type="numbering" w:styleId="WW8Num74">
    <w:name w:val="WW8Num74"/>
    <w:qFormat/>
  </w:style>
  <w:style w:type="numbering" w:styleId="WW8Num5">
    <w:name w:val="WW8Num5"/>
    <w:qFormat/>
  </w:style>
  <w:style w:type="numbering" w:styleId="WW8Num37">
    <w:name w:val="WW8Num37"/>
    <w:qFormat/>
  </w:style>
  <w:style w:type="numbering" w:styleId="WW8Num15">
    <w:name w:val="WW8Num15"/>
    <w:qFormat/>
  </w:style>
  <w:style w:type="numbering" w:styleId="WW8Num63">
    <w:name w:val="WW8Num63"/>
    <w:qFormat/>
  </w:style>
  <w:style w:type="numbering" w:styleId="WW8Num50">
    <w:name w:val="WW8Num50"/>
    <w:qFormat/>
  </w:style>
  <w:style w:type="numbering" w:styleId="WW8Num110">
    <w:name w:val="WW8Num110"/>
    <w:qFormat/>
  </w:style>
  <w:style w:type="numbering" w:styleId="WW8Num130">
    <w:name w:val="WW8Num1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LibreOffice/24.8.0.3$Windows_X86_64 LibreOffice_project/0bdf1299c94fe897b119f97f3c613e9dca6be583</Application>
  <AppVersion>15.0000</AppVersion>
  <Pages>11</Pages>
  <Words>5236</Words>
  <Characters>30712</Characters>
  <CharactersWithSpaces>35051</CharactersWithSpaces>
  <Paragraphs>539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2024-09-24T11:23:18Z</dcterms:created>
  <dc:creator/>
  <dc:description/>
  <dc:language>pl-PL</dc:language>
  <cp:lastModifiedBy/>
  <dcterms:modified xsi:type="dcterms:W3CDTF">2024-09-24T11:42:21Z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