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B719" w14:textId="4CA4428C" w:rsidR="00A224DC" w:rsidRDefault="00A224DC" w:rsidP="00A224DC">
      <w:pPr>
        <w:spacing w:line="276" w:lineRule="auto"/>
        <w:rPr>
          <w:b/>
        </w:rPr>
      </w:pPr>
      <w:r>
        <w:rPr>
          <w:b/>
        </w:rPr>
        <w:t>WYMAGANIA EDUKACYJNE „MATEMATYKA Z KLUCZEM”  KL V</w:t>
      </w:r>
      <w:r>
        <w:rPr>
          <w:b/>
        </w:rPr>
        <w:t>II</w:t>
      </w:r>
    </w:p>
    <w:p w14:paraId="1906FBEB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906FBEE" w14:textId="0E1FA80F" w:rsidR="009965FE" w:rsidRPr="00EB7BEF" w:rsidRDefault="009965FE" w:rsidP="00A224DC">
      <w:pPr>
        <w:spacing w:line="276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25E6" w14:textId="77777777" w:rsidR="009D6871" w:rsidRDefault="009D6871" w:rsidP="00626C78">
      <w:r>
        <w:separator/>
      </w:r>
    </w:p>
  </w:endnote>
  <w:endnote w:type="continuationSeparator" w:id="0">
    <w:p w14:paraId="369C6016" w14:textId="77777777" w:rsidR="009D6871" w:rsidRDefault="009D6871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FEF6" w14:textId="4F505F4C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224DC">
      <w:rPr>
        <w:noProof/>
      </w:rPr>
      <w:t>7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DA08" w14:textId="77777777" w:rsidR="009D6871" w:rsidRDefault="009D6871" w:rsidP="00626C78">
      <w:r>
        <w:separator/>
      </w:r>
    </w:p>
  </w:footnote>
  <w:footnote w:type="continuationSeparator" w:id="0">
    <w:p w14:paraId="62BEE33B" w14:textId="77777777" w:rsidR="009D6871" w:rsidRDefault="009D6871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5662"/>
    <w:rsid w:val="009D6871"/>
    <w:rsid w:val="009E106F"/>
    <w:rsid w:val="009E1606"/>
    <w:rsid w:val="009F531D"/>
    <w:rsid w:val="00A10E5B"/>
    <w:rsid w:val="00A224DC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2934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Elżbieta Hryniak</cp:lastModifiedBy>
  <cp:revision>2</cp:revision>
  <dcterms:created xsi:type="dcterms:W3CDTF">2025-09-16T16:37:00Z</dcterms:created>
  <dcterms:modified xsi:type="dcterms:W3CDTF">2025-09-16T16:37:00Z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