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0A" w:rsidRDefault="00CF1559" w:rsidP="0022150A">
      <w:pPr>
        <w:pStyle w:val="tytu01"/>
        <w:rPr>
          <w:color w:val="1F497D" w:themeColor="text2"/>
        </w:rPr>
      </w:pPr>
      <w:r>
        <w:rPr>
          <w:color w:val="1F497D" w:themeColor="text2"/>
        </w:rPr>
        <w:t>WYMAGANIA EDUKACYJNE Z FIZYKI</w:t>
      </w:r>
    </w:p>
    <w:p w:rsidR="0022150A" w:rsidRPr="00D22F46" w:rsidRDefault="0022150A" w:rsidP="0022150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D22F46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</w:t>
            </w:r>
            <w:r w:rsidR="0074747A">
              <w:t>3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</w:t>
            </w:r>
            <w:r w:rsidR="0074747A">
              <w:t>4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</w:t>
            </w:r>
            <w:r w:rsidR="0074747A">
              <w:t>3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</w:t>
            </w:r>
            <w:r w:rsidR="0074747A">
              <w:t>4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</w:t>
            </w:r>
            <w:r w:rsidR="0074747A">
              <w:t>3</w:t>
            </w:r>
            <w:r w:rsidRPr="00204B0A">
              <w:t>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</w:t>
            </w:r>
            <w:r w:rsidR="0074747A">
              <w:t>8</w:t>
            </w:r>
            <w:r>
              <w:t>b)</w:t>
            </w:r>
          </w:p>
          <w:p w:rsidR="0022150A" w:rsidRDefault="0022150A" w:rsidP="00FB7CB9">
            <w:pPr>
              <w:pStyle w:val="tabelakropka"/>
            </w:pPr>
            <w:r>
              <w:t>podaje przykłady przewodników i izolatorów (4.</w:t>
            </w:r>
            <w:r w:rsidR="0074747A">
              <w:t>5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</w:t>
            </w:r>
            <w:r w:rsidR="0074747A">
              <w:t>5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</w:t>
            </w:r>
            <w:r w:rsidR="0074747A">
              <w:t>3</w:t>
            </w:r>
            <w:r>
              <w:t>, 4.</w:t>
            </w:r>
            <w:r w:rsidR="0074747A">
              <w:t>5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zjawisko przewodzenia ciepła z wykorzystaniem modelu budowy materii (4.</w:t>
            </w:r>
            <w:r w:rsidR="0074747A">
              <w:t>5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konwekcji (4.</w:t>
            </w:r>
            <w:r w:rsidR="0074747A">
              <w:t>6</w:t>
            </w:r>
            <w:r>
              <w:t>)</w:t>
            </w:r>
          </w:p>
          <w:p w:rsidR="0022150A" w:rsidRDefault="0022150A" w:rsidP="00FB7CB9">
            <w:pPr>
              <w:pStyle w:val="tabelakropka"/>
            </w:pPr>
            <w:r>
              <w:t>prezentuje doświadczalnie zjawisko konwekcji (4.</w:t>
            </w:r>
            <w:r w:rsidR="0074747A">
              <w:t>6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</w:t>
            </w:r>
            <w:r w:rsidR="0074747A">
              <w:t>6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zjawisko konwekcji (4.</w:t>
            </w:r>
            <w:r w:rsidR="0074747A">
              <w:t>6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</w:t>
            </w:r>
            <w:r w:rsidR="0074747A">
              <w:t>6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</w:t>
            </w:r>
            <w:r w:rsidR="0074747A">
              <w:t>6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t>demonstruje zjawiska topnienia, wrzenia i skraplania (1.3, 4.</w:t>
            </w:r>
            <w:r w:rsidR="007B1AC6">
              <w:t>8</w:t>
            </w:r>
            <w:r w:rsidRPr="00103672">
              <w:t>a)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</w:t>
            </w:r>
            <w:r>
              <w:lastRenderedPageBreak/>
              <w:t>i </w:t>
            </w:r>
            <w:r w:rsidRPr="00103672">
              <w:t>ciepło parowania w temperaturze wrzenia (1.1)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>opisuje zjawisko topnienia (stałość temperatury, zmiany energii wewnętrznej topniejących ciał) (1.1,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>an</w:t>
            </w:r>
            <w:r>
              <w:t>alizuje (energetycznie) zjawiska</w:t>
            </w:r>
            <w:r w:rsidRPr="00103672">
              <w:t xml:space="preserve"> parowania i wrzenia (4.</w:t>
            </w:r>
            <w:r w:rsidR="007B1AC6">
              <w:t>7</w:t>
            </w:r>
            <w:r w:rsidRPr="00103672">
              <w:t>)</w:t>
            </w:r>
          </w:p>
          <w:p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>wyjaśnia, dlaczego podczas topnienia i krzepnięcia temperatura pozostaje stała mimo zmiany energii wewnętrznej (1.2,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  <w:szCs w:val="24"/>
              </w:rPr>
              <w:object w:dxaOrig="63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13.2pt" o:ole="">
                  <v:imagedata r:id="rId8" o:title=""/>
                </v:shape>
                <o:OLEObject Type="Embed" ProgID="Equation.DSMT4" ShapeID="_x0000_i1025" DrawAspect="Content" ObjectID="_1819611968" r:id="rId9"/>
              </w:object>
            </w:r>
            <w:r w:rsidRPr="00103672">
              <w:t xml:space="preserve"> (1.6, 4.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  <w:szCs w:val="24"/>
              </w:rPr>
              <w:object w:dxaOrig="660" w:dyaOrig="300">
                <v:shape id="_x0000_i1026" type="#_x0000_t75" style="width:33pt;height:15pt" o:ole="">
                  <v:imagedata r:id="rId10" o:title=""/>
                </v:shape>
                <o:OLEObject Type="Embed" ProgID="Equation.DSMT4" ShapeID="_x0000_i1026" DrawAspect="Content" ObjectID="_1819611969" r:id="rId11"/>
              </w:object>
            </w:r>
            <w:r w:rsidRPr="00103672">
              <w:t xml:space="preserve"> (1.6, 4.</w:t>
            </w:r>
            <w:r w:rsidR="007B1AC6">
              <w:t>7</w:t>
            </w:r>
            <w:r w:rsidRPr="00103672">
              <w:t>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</w:t>
            </w:r>
            <w:r w:rsidR="007B1AC6">
              <w:t>7</w:t>
            </w:r>
            <w:r w:rsidRPr="00103672"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27" type="#_x0000_t75" style="width:26.4pt;height:12pt" o:ole="">
                  <v:imagedata r:id="rId12" o:title=""/>
                </v:shape>
                <o:OLEObject Type="Embed" ProgID="Equation.DSMT4" ShapeID="_x0000_i1027" DrawAspect="Content" ObjectID="_1819611970" r:id="rId13"/>
              </w:object>
            </w:r>
            <w:r w:rsidRPr="00103672">
              <w:t>definiuje ciepło topnienia substancji (1.8,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28" type="#_x0000_t75" style="width:26.4pt;height:12pt" o:ole="">
                  <v:imagedata r:id="rId12" o:title=""/>
                </v:shape>
                <o:OLEObject Type="Embed" ProgID="Equation.DSMT4" ShapeID="_x0000_i1028" DrawAspect="Content" ObjectID="_1819611971" r:id="rId14"/>
              </w:object>
            </w:r>
            <w:r w:rsidRPr="00103672">
              <w:t xml:space="preserve"> definiuje ciepło parowania (1.8, 4.</w:t>
            </w:r>
            <w:r w:rsidR="007B1AC6">
              <w:t>7</w:t>
            </w:r>
            <w:r w:rsidRPr="00103672">
              <w:t>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>wyjaśnia sens fizyczny ciepła parowania (1.2)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  <w:bookmarkStart w:id="0" w:name="_GoBack"/>
      <w:bookmarkEnd w:id="0"/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251"/>
        <w:gridCol w:w="2987"/>
      </w:tblGrid>
      <w:tr w:rsidR="0022150A" w:rsidRPr="005D1A26" w:rsidTr="00666C52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251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987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666C52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251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  <w:szCs w:val="24"/>
              </w:rPr>
              <w:object w:dxaOrig="380" w:dyaOrig="279">
                <v:shape id="_x0000_i1029" type="#_x0000_t75" style="width:18.6pt;height:13.2pt" o:ole="">
                  <v:imagedata r:id="rId15" o:title=""/>
                </v:shape>
                <o:OLEObject Type="Embed" ProgID="Equation.DSMT4" ShapeID="_x0000_i1029" DrawAspect="Content" ObjectID="_1819611972" r:id="rId16"/>
              </w:object>
            </w:r>
            <w:r w:rsidRPr="00345918">
              <w:t xml:space="preserve"> dla drgającego ciała</w:t>
            </w:r>
            <w:r>
              <w:t xml:space="preserve"> (1.1, 8.1, 8.</w:t>
            </w:r>
            <w:r w:rsidR="00B027A7">
              <w:t>2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opisuje ruch wahadła i ciężarka na sprężynie oraz analizuje przemiany energii mechanicznej w </w:t>
            </w:r>
            <w:r w:rsidR="00B027A7">
              <w:t>ruchu wahadła</w:t>
            </w:r>
            <w:r>
              <w:t xml:space="preserve"> (1.2)</w:t>
            </w:r>
          </w:p>
        </w:tc>
        <w:tc>
          <w:tcPr>
            <w:tcW w:w="2987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666C52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</w:t>
            </w:r>
            <w:r w:rsidR="00B027A7">
              <w:t>8</w:t>
            </w:r>
            <w:r>
              <w:t>a)</w:t>
            </w:r>
          </w:p>
        </w:tc>
        <w:tc>
          <w:tcPr>
            <w:tcW w:w="3251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2987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666C52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076CBC" w:rsidRDefault="0022150A" w:rsidP="00FB7CB9">
            <w:pPr>
              <w:pStyle w:val="tabelakropka"/>
            </w:pPr>
            <w:r>
              <w:t>demonstruje falę poprzeczną i falę podłużną (8.</w:t>
            </w:r>
            <w:r w:rsidR="00B027A7">
              <w:t>3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różnice między falami poprzecznymi i falami podłużnymi (8.</w:t>
            </w:r>
            <w:r w:rsidR="00B027A7">
              <w:t>3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</w:t>
            </w:r>
            <w:r w:rsidR="00B027A7">
              <w:t>4</w:t>
            </w:r>
            <w:r>
              <w:t>)</w:t>
            </w:r>
          </w:p>
        </w:tc>
        <w:tc>
          <w:tcPr>
            <w:tcW w:w="3251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  <w:szCs w:val="24"/>
              </w:rPr>
              <w:object w:dxaOrig="580" w:dyaOrig="240">
                <v:shape id="_x0000_i1030" type="#_x0000_t75" style="width:30pt;height:12pt" o:ole="">
                  <v:imagedata r:id="rId17" o:title=""/>
                </v:shape>
                <o:OLEObject Type="Embed" ProgID="Equation.DSMT4" ShapeID="_x0000_i1030" DrawAspect="Content" ObjectID="_1819611973" r:id="rId18"/>
              </w:object>
            </w:r>
            <w:r>
              <w:t xml:space="preserve">oraz </w:t>
            </w:r>
            <w:r w:rsidRPr="00332133">
              <w:rPr>
                <w:position w:val="-24"/>
                <w:szCs w:val="24"/>
              </w:rPr>
              <w:object w:dxaOrig="520" w:dyaOrig="540">
                <v:shape id="_x0000_i1031" type="#_x0000_t75" style="width:26.4pt;height:26.4pt" o:ole="">
                  <v:imagedata r:id="rId19" o:title=""/>
                </v:shape>
                <o:OLEObject Type="Embed" ProgID="Equation.DSMT4" ShapeID="_x0000_i1031" DrawAspect="Content" ObjectID="_1819611974" r:id="rId20"/>
              </w:object>
            </w:r>
            <w:r>
              <w:t xml:space="preserve"> do obliczeń (1.6, 8.</w:t>
            </w:r>
            <w:r w:rsidR="00B027A7">
              <w:t>4</w:t>
            </w:r>
            <w:r>
              <w:t>)</w:t>
            </w:r>
          </w:p>
        </w:tc>
        <w:tc>
          <w:tcPr>
            <w:tcW w:w="2987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</w:t>
            </w:r>
            <w:r w:rsidR="00B027A7">
              <w:t>3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666C52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0"/>
            </w:pPr>
            <w:r>
              <w:t>podaje przykłady źródeł dźwięku (8.</w:t>
            </w:r>
            <w:r w:rsidR="00B027A7">
              <w:t>5</w:t>
            </w:r>
            <w:r>
              <w:t>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t>demonstruje wytwarzanie dźwięków w przedmiotach drgających i instrumentach muzycznych (8.</w:t>
            </w:r>
            <w:r w:rsidR="00B027A7">
              <w:t>8</w:t>
            </w:r>
            <w:r>
              <w:t>b)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</w:t>
            </w:r>
            <w:r w:rsidR="00B027A7">
              <w:t>6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</w:t>
            </w:r>
            <w:r w:rsidR="00B027A7">
              <w:t>7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:rsidR="0022150A" w:rsidRPr="00BB2D2B" w:rsidRDefault="0022150A" w:rsidP="008B288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251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</w:pPr>
            <w:r>
              <w:t>podaje cechy fali dźwiękowej (częstotliwość 20–20 000 Hz, fala podłużna) (8.</w:t>
            </w:r>
            <w:r w:rsidR="00B027A7">
              <w:t>7</w:t>
            </w:r>
            <w:r>
              <w:t>)</w:t>
            </w:r>
          </w:p>
        </w:tc>
        <w:tc>
          <w:tcPr>
            <w:tcW w:w="2987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</w:t>
            </w:r>
            <w:r w:rsidR="00B027A7">
              <w:t>7</w:t>
            </w:r>
            <w:r>
              <w:t>)</w:t>
            </w:r>
          </w:p>
        </w:tc>
      </w:tr>
    </w:tbl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</w:t>
            </w:r>
            <w:r w:rsidR="00B027A7">
              <w:t>5</w:t>
            </w:r>
            <w:r>
              <w:t>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przewodników i izolatorów (6.3, 6.1</w:t>
            </w:r>
            <w:r w:rsidR="00B027A7">
              <w:t>5</w:t>
            </w:r>
            <w:r>
              <w:t>c)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10. O prądzie elektrycznym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zapisuje i wyjaśnia wzór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  <w:szCs w:val="24"/>
              </w:rPr>
              <w:object w:dxaOrig="1160" w:dyaOrig="520">
                <v:shape id="_x0000_i1032" type="#_x0000_t75" style="width:58.8pt;height:26.4pt" o:ole="">
                  <v:imagedata r:id="rId21" o:title=""/>
                </v:shape>
                <o:OLEObject Type="Embed" ProgID="Equation.3" ShapeID="_x0000_i1032" DrawAspect="Content" ObjectID="_1819611975" r:id="rId22"/>
              </w:object>
            </w:r>
          </w:p>
          <w:p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</w:t>
            </w:r>
            <w:r w:rsidR="00247253">
              <w:t>5</w:t>
            </w:r>
            <w:r>
              <w:t>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33" type="#_x0000_t75" style="width:24.6pt;height:25.2pt" o:ole="">
                  <v:imagedata r:id="rId23" o:title=""/>
                </v:shape>
                <o:OLEObject Type="Embed" ProgID="Equation.DSMT4" ShapeID="_x0000_i1033" DrawAspect="Content" ObjectID="_1819611976" r:id="rId24"/>
              </w:object>
            </w:r>
            <w:r>
              <w:t xml:space="preserve"> (6.8)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  <w:szCs w:val="24"/>
              </w:rPr>
              <w:object w:dxaOrig="420" w:dyaOrig="240">
                <v:shape id="_x0000_i1034" type="#_x0000_t75" style="width:21.6pt;height:12pt" o:ole="">
                  <v:imagedata r:id="rId25" o:title=""/>
                </v:shape>
                <o:OLEObject Type="Embed" ProgID="Equation.DSMT4" ShapeID="_x0000_i1034" DrawAspect="Content" ObjectID="_1819611977" r:id="rId26"/>
              </w:object>
            </w:r>
            <w:r>
              <w:t xml:space="preserve"> (6.8)</w:t>
            </w:r>
          </w:p>
          <w:p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35" type="#_x0000_t75" style="width:24.6pt;height:25.2pt" o:ole="">
                  <v:imagedata r:id="rId23" o:title=""/>
                </v:shape>
                <o:OLEObject Type="Embed" ProgID="Equation.DSMT4" ShapeID="_x0000_i1035" DrawAspect="Content" ObjectID="_1819611978" r:id="rId27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wyjaśnia, skąd się bierze opór przewodnika (6.12)</w:t>
            </w:r>
          </w:p>
          <w:p w:rsidR="0022150A" w:rsidRPr="00E26FF6" w:rsidRDefault="0022150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  <w:szCs w:val="24"/>
              </w:rPr>
              <w:object w:dxaOrig="440" w:dyaOrig="279">
                <v:shape id="_x0000_i1036" type="#_x0000_t75" style="width:21.6pt;height:13.2pt" o:ole="">
                  <v:imagedata r:id="rId28" o:title=""/>
                </v:shape>
                <o:OLEObject Type="Embed" ProgID="Equation.DSMT4" ShapeID="_x0000_i1036" DrawAspect="Content" ObjectID="_1819611979" r:id="rId29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26FF6" w:rsidRDefault="0022150A" w:rsidP="00FB7CB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37" type="#_x0000_t75" style="width:27pt;height:25.2pt" o:ole="">
                  <v:imagedata r:id="rId30" o:title=""/>
                </v:shape>
                <o:OLEObject Type="Embed" ProgID="Equation.DSMT4" ShapeID="_x0000_i1037" DrawAspect="Content" ObjectID="_1819611980" r:id="rId31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zależność wyrażoną przez prawo Ohma (6.12)</w:t>
            </w:r>
          </w:p>
          <w:p w:rsidR="0022150A" w:rsidRDefault="0022150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38" type="#_x0000_t75" style="width:27pt;height:25.2pt" o:ole="">
                  <v:imagedata r:id="rId30" o:title=""/>
                </v:shape>
                <o:OLEObject Type="Embed" ProgID="Equation.DSMT4" ShapeID="_x0000_i1038" DrawAspect="Content" ObjectID="_1819611981" r:id="rId32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lastRenderedPageBreak/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</w:t>
            </w:r>
            <w:r w:rsidR="00E55438">
              <w:t>5</w:t>
            </w:r>
            <w:r>
              <w:t>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  <w:r w:rsidR="00E55438">
              <w:rPr>
                <w:rFonts w:asciiTheme="minorHAnsi" w:hAnsiTheme="minorHAnsi"/>
                <w:sz w:val="18"/>
                <w:szCs w:val="18"/>
              </w:rPr>
              <w:t xml:space="preserve"> [F]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C08BF" w:rsidRDefault="0022150A" w:rsidP="00FB7CB9">
            <w:pPr>
              <w:pStyle w:val="tabelakropka"/>
            </w:pPr>
            <w:r>
              <w:t>opisuje rolę izolacji elektrycznej przewodu (6.14</w:t>
            </w:r>
            <w:r w:rsidR="00E55438">
              <w:t xml:space="preserve"> </w:t>
            </w:r>
            <w:r w:rsidR="00E55438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</w:t>
            </w:r>
            <w:r w:rsidR="00E55438">
              <w:t xml:space="preserve"> </w:t>
            </w:r>
            <w:r w:rsidR="00E55438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</w:t>
            </w:r>
            <w:r w:rsidR="00E55438">
              <w:t xml:space="preserve"> </w:t>
            </w:r>
            <w:r w:rsidR="00E55438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budowę domowej sieci elektrycznej (6.14</w:t>
            </w:r>
            <w:r w:rsidR="00E55438">
              <w:t xml:space="preserve"> </w:t>
            </w:r>
            <w:r w:rsidR="00E55438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</w:t>
            </w:r>
            <w:r w:rsidR="00E55438">
              <w:t xml:space="preserve"> </w:t>
            </w:r>
            <w:r w:rsidR="00E55438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  <w:szCs w:val="24"/>
              </w:rPr>
              <w:object w:dxaOrig="660" w:dyaOrig="240">
                <v:shape id="_x0000_i1039" type="#_x0000_t75" style="width:33.6pt;height:12pt" o:ole="">
                  <v:imagedata r:id="rId33" o:title=""/>
                </v:shape>
                <o:OLEObject Type="Embed" ProgID="Equation.DSMT4" ShapeID="_x0000_i1039" DrawAspect="Content" ObjectID="_1819611982" r:id="rId34"/>
              </w:object>
            </w:r>
            <w:r>
              <w:t xml:space="preserve"> (6.10)</w:t>
            </w:r>
          </w:p>
          <w:p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  <w:szCs w:val="24"/>
              </w:rPr>
              <w:object w:dxaOrig="600" w:dyaOrig="240">
                <v:shape id="_x0000_i1040" type="#_x0000_t75" style="width:30.6pt;height:12pt" o:ole="">
                  <v:imagedata r:id="rId35" o:title=""/>
                </v:shape>
                <o:OLEObject Type="Embed" ProgID="Equation.DSMT4" ShapeID="_x0000_i1040" DrawAspect="Content" ObjectID="_1819611983" r:id="rId36"/>
              </w:object>
            </w:r>
            <w:r>
              <w:t xml:space="preserve"> (6.10)</w:t>
            </w:r>
          </w:p>
          <w:p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  <w:szCs w:val="24"/>
              </w:rPr>
              <w:object w:dxaOrig="660" w:dyaOrig="240">
                <v:shape id="_x0000_i1041" type="#_x0000_t75" style="width:33.6pt;height:12pt" o:ole="">
                  <v:imagedata r:id="rId37" o:title=""/>
                </v:shape>
                <o:OLEObject Type="Embed" ProgID="Equation.DSMT4" ShapeID="_x0000_i1041" DrawAspect="Content" ObjectID="_1819611984" r:id="rId38"/>
              </w:object>
            </w:r>
            <w:r>
              <w:br/>
            </w:r>
            <w:r w:rsidRPr="0031460F">
              <w:rPr>
                <w:position w:val="-20"/>
                <w:szCs w:val="24"/>
              </w:rPr>
              <w:object w:dxaOrig="760" w:dyaOrig="560">
                <v:shape id="_x0000_i1042" type="#_x0000_t75" style="width:38.4pt;height:27pt" o:ole="">
                  <v:imagedata r:id="rId39" o:title=""/>
                </v:shape>
                <o:OLEObject Type="Embed" ProgID="Equation.3" ShapeID="_x0000_i1042" DrawAspect="Content" ObjectID="_1819611985" r:id="rId40"/>
              </w:object>
            </w:r>
            <w:r>
              <w:br/>
            </w:r>
            <w:r w:rsidRPr="00140F17">
              <w:rPr>
                <w:position w:val="-6"/>
                <w:szCs w:val="24"/>
              </w:rPr>
              <w:object w:dxaOrig="760" w:dyaOrig="260">
                <v:shape id="_x0000_i1043" type="#_x0000_t75" style="width:38.4pt;height:12pt" o:ole="">
                  <v:imagedata r:id="rId41" o:title=""/>
                </v:shape>
                <o:OLEObject Type="Embed" ProgID="Equation.DSMT4" ShapeID="_x0000_i1043" DrawAspect="Content" ObjectID="_1819611986" r:id="rId42"/>
              </w:objec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8B2889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8B2889">
            <w:pPr>
              <w:pStyle w:val="tabelakropka"/>
              <w:numPr>
                <w:ilvl w:val="0"/>
                <w:numId w:val="0"/>
              </w:numPr>
              <w:ind w:left="170"/>
            </w:pP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/>
      </w:tblPr>
      <w:tblGrid>
        <w:gridCol w:w="2173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:rsidR="0022150A" w:rsidRDefault="0022150A" w:rsidP="00FB7CB9">
            <w:pPr>
              <w:pStyle w:val="tabelakropka"/>
            </w:pPr>
            <w:r>
              <w:t xml:space="preserve">opisuje i demonstruje zachowanie igły magnetycznej w pobliżu magnesu (7.1, </w:t>
            </w:r>
            <w:r>
              <w:lastRenderedPageBreak/>
              <w:t>7.7a)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>
              <w:lastRenderedPageBreak/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lastRenderedPageBreak/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elektromagnesu (7.5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rolę rdzenia w elektromagnesie (7.5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  <w:r w:rsidR="00E0672A">
              <w:rPr>
                <w:rFonts w:asciiTheme="minorHAnsi" w:hAnsiTheme="minorHAnsi"/>
                <w:sz w:val="18"/>
                <w:szCs w:val="18"/>
              </w:rPr>
              <w:t xml:space="preserve"> [F]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</w:t>
            </w:r>
            <w:r w:rsidR="00E0672A">
              <w:t xml:space="preserve">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  <w:r w:rsidR="00E0672A">
              <w:rPr>
                <w:rFonts w:asciiTheme="minorHAnsi" w:hAnsiTheme="minorHAnsi"/>
                <w:sz w:val="18"/>
                <w:szCs w:val="18"/>
              </w:rPr>
              <w:t xml:space="preserve"> [F]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nazywa rodzaje fal elektromagnetycznych  (9.1</w:t>
            </w:r>
            <w:r w:rsidR="00E0672A">
              <w:t xml:space="preserve">1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</w:t>
            </w:r>
            <w:r w:rsidR="00E0672A">
              <w:t xml:space="preserve">1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</w:t>
            </w:r>
            <w:r w:rsidR="00E0672A">
              <w:t xml:space="preserve">1 </w:t>
            </w:r>
            <w:r w:rsidR="00E0672A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demonstruje prostoliniowe rozchodzenie się światła (9.1</w:t>
            </w:r>
            <w:r w:rsidR="00C51FB9">
              <w:t>2</w:t>
            </w:r>
            <w:r>
              <w:t>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lastRenderedPageBreak/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</w:t>
            </w:r>
            <w:r w:rsidRPr="002F490E">
              <w:lastRenderedPageBreak/>
              <w:t>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</w:t>
            </w:r>
            <w:r w:rsidR="00C51FB9">
              <w:t>2</w:t>
            </w:r>
            <w:r>
              <w:t>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</w:t>
            </w:r>
            <w:r w:rsidR="00C51FB9">
              <w:t>2</w:t>
            </w:r>
            <w:r>
              <w:t>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8B2889">
            <w:pPr>
              <w:pStyle w:val="tabelakropka"/>
              <w:numPr>
                <w:ilvl w:val="0"/>
                <w:numId w:val="0"/>
              </w:numPr>
              <w:spacing w:before="40"/>
              <w:ind w:left="170"/>
            </w:pP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DF260D">
            <w:pPr>
              <w:pStyle w:val="tabelakropka"/>
              <w:spacing w:before="40"/>
            </w:pPr>
          </w:p>
          <w:p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DF260D" w:rsidRDefault="0022150A" w:rsidP="008B2889">
            <w:pPr>
              <w:pStyle w:val="tabelakropka"/>
              <w:spacing w:before="4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</w:t>
            </w:r>
            <w:r w:rsidR="00C51FB9">
              <w:t>2</w:t>
            </w:r>
            <w:r>
              <w:t>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</w:t>
            </w:r>
            <w:r w:rsidR="00DF260D">
              <w:t>9</w:t>
            </w:r>
            <w:r>
              <w:t>)</w:t>
            </w:r>
          </w:p>
          <w:p w:rsidR="0022150A" w:rsidRPr="00E0450F" w:rsidRDefault="0022150A" w:rsidP="00FB7CB9">
            <w:pPr>
              <w:pStyle w:val="tabelakropka"/>
              <w:spacing w:before="40"/>
            </w:pPr>
            <w:r>
              <w:t>rozpoznaje tęczę jako efekt rozszczepienia światła słonecznego (9.</w:t>
            </w:r>
            <w:r w:rsidR="00DF260D">
              <w:t>9</w:t>
            </w:r>
            <w:r>
              <w:t>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wyjaśnia rozszczepienie światła białego w pryzmacie (9.</w:t>
            </w:r>
            <w:r w:rsidR="00DF260D">
              <w:t>9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</w:t>
            </w:r>
            <w:r w:rsidR="00DF260D">
              <w:t>0</w:t>
            </w:r>
            <w:r>
              <w:t>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wyjaśnia, na czym polega widzenie barwne (9.</w:t>
            </w:r>
            <w:r w:rsidR="00DF260D">
              <w:t>9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</w:t>
            </w:r>
            <w:r w:rsidR="00C51FB9">
              <w:t>2</w:t>
            </w:r>
            <w:r>
              <w:t>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lastRenderedPageBreak/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</w:t>
            </w:r>
            <w:r>
              <w:lastRenderedPageBreak/>
              <w:t xml:space="preserve">ze wzoru </w:t>
            </w:r>
            <w:r w:rsidRPr="00D03B01">
              <w:rPr>
                <w:position w:val="-24"/>
                <w:szCs w:val="24"/>
              </w:rPr>
              <w:object w:dxaOrig="540" w:dyaOrig="540">
                <v:shape id="_x0000_i1044" type="#_x0000_t75" style="width:27pt;height:26.4pt" o:ole="">
                  <v:imagedata r:id="rId43" o:title=""/>
                </v:shape>
                <o:OLEObject Type="Embed" ProgID="Equation.DSMT4" ShapeID="_x0000_i1044" DrawAspect="Content" ObjectID="_1819611987" r:id="rId44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8B288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wytwarza za pomocą soczewki skupiającej ostry obraz przedmiotu na ekranie (9.1</w:t>
            </w:r>
            <w:r w:rsidR="00794438">
              <w:t>2</w:t>
            </w:r>
            <w:r>
              <w:t>a,)</w:t>
            </w:r>
          </w:p>
          <w:p w:rsidR="0022150A" w:rsidRPr="004A7342" w:rsidRDefault="0022150A" w:rsidP="008B288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</w:t>
            </w:r>
            <w:r w:rsidR="002A722F">
              <w:t xml:space="preserve">8 </w:t>
            </w:r>
            <w:r w:rsidR="002A722F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</w:t>
            </w:r>
            <w:r w:rsidR="002A722F">
              <w:t xml:space="preserve">8 </w:t>
            </w:r>
            <w:r w:rsidR="002A722F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</w:t>
            </w:r>
            <w:r w:rsidR="002A722F">
              <w:t xml:space="preserve">8 </w:t>
            </w:r>
            <w:r w:rsidR="002A722F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</w:t>
            </w:r>
            <w:r w:rsidR="002A722F">
              <w:t xml:space="preserve">8 </w:t>
            </w:r>
            <w:r w:rsidR="002A722F">
              <w:rPr>
                <w:rFonts w:asciiTheme="minorHAnsi" w:hAnsiTheme="minorHAnsi"/>
                <w:szCs w:val="18"/>
              </w:rPr>
              <w:t>[F]</w:t>
            </w:r>
            <w:r>
              <w:t>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45"/>
      <w:footerReference w:type="default" r:id="rId46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43" w:rsidRDefault="005B4743" w:rsidP="00285D6F">
      <w:r>
        <w:separator/>
      </w:r>
    </w:p>
  </w:endnote>
  <w:endnote w:type="continuationSeparator" w:id="0">
    <w:p w:rsidR="005B4743" w:rsidRDefault="005B4743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E" w:rsidRDefault="00B02B5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B02B54">
      <w:rPr>
        <w:b/>
        <w:noProof/>
        <w:color w:val="003892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797D39">
      <w:t xml:space="preserve">Barbara </w:t>
    </w:r>
    <w:proofErr w:type="spellStart"/>
    <w:r w:rsidR="00797D39">
      <w:t>Sagnowska</w:t>
    </w:r>
    <w:proofErr w:type="spellEnd"/>
    <w:r w:rsidR="003F26A8">
      <w:tab/>
    </w:r>
    <w:r w:rsidR="003F26A8">
      <w:tab/>
    </w:r>
    <w:r w:rsidR="003F26A8">
      <w:tab/>
    </w:r>
    <w:r w:rsidR="003F26A8">
      <w:tab/>
    </w:r>
    <w:r w:rsidR="003F26A8">
      <w:tab/>
      <w:t>Przedmiotowy System Oceniania</w:t>
    </w:r>
  </w:p>
  <w:p w:rsidR="00EE01FE" w:rsidRDefault="00B02B54" w:rsidP="00EE01FE">
    <w:pPr>
      <w:pStyle w:val="Stopka"/>
      <w:tabs>
        <w:tab w:val="clear" w:pos="9072"/>
        <w:tab w:val="right" w:pos="9639"/>
      </w:tabs>
      <w:ind w:left="-567" w:right="1"/>
    </w:pPr>
    <w:r w:rsidRPr="00B02B54">
      <w:rPr>
        <w:b/>
        <w:noProof/>
        <w:color w:val="003892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</w:p>
  <w:p w:rsidR="00EE01FE" w:rsidRDefault="00EE01FE" w:rsidP="00D038CD">
    <w:pPr>
      <w:pStyle w:val="Stopka"/>
      <w:tabs>
        <w:tab w:val="clear" w:pos="4536"/>
        <w:tab w:val="clear" w:pos="9072"/>
      </w:tabs>
      <w:ind w:left="-1417"/>
      <w:jc w:val="right"/>
      <w:rPr>
        <w:noProof/>
      </w:rPr>
    </w:pPr>
    <w:r>
      <w:tab/>
    </w:r>
    <w:r>
      <w:tab/>
    </w:r>
    <w:r>
      <w:tab/>
    </w:r>
    <w:r>
      <w:tab/>
    </w:r>
    <w:r>
      <w:tab/>
    </w:r>
    <w:r w:rsidR="00D038CD">
      <w:rPr>
        <w:noProof/>
      </w:rPr>
      <w:drawing>
        <wp:inline distT="0" distB="0" distL="0" distR="0">
          <wp:extent cx="8181975" cy="161925"/>
          <wp:effectExtent l="0" t="0" r="0" b="9525"/>
          <wp:docPr id="79699583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95832" name="Obraz 796995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330" t="37931" r="-625" b="3448"/>
                  <a:stretch/>
                </pic:blipFill>
                <pic:spPr bwMode="auto">
                  <a:xfrm>
                    <a:off x="0" y="0"/>
                    <a:ext cx="8181975" cy="16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</w:rPr>
      <w:t xml:space="preserve">          </w:t>
    </w:r>
  </w:p>
  <w:p w:rsidR="009130E5" w:rsidRDefault="00B02B54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CF1559">
      <w:rPr>
        <w:noProof/>
      </w:rPr>
      <w:t>1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43" w:rsidRDefault="005B4743" w:rsidP="00285D6F">
      <w:r>
        <w:separator/>
      </w:r>
    </w:p>
  </w:footnote>
  <w:footnote w:type="continuationSeparator" w:id="0">
    <w:p w:rsidR="005B4743" w:rsidRDefault="005B4743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 w:rsidR="0022150A">
      <w:t>| Świat fizyki</w:t>
    </w:r>
    <w:r w:rsidR="00797D39">
      <w:t xml:space="preserve"> | Klasy 7</w:t>
    </w:r>
    <w:r w:rsidR="00797D39"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 Buza">
    <w15:presenceInfo w15:providerId="AD" w15:userId="S::Marta_Buza@wsip.com.pl::93af27c5-9948-4517-9f18-a972e6e39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E4CB0"/>
    <w:rsid w:val="001F0820"/>
    <w:rsid w:val="0022150A"/>
    <w:rsid w:val="00245DA5"/>
    <w:rsid w:val="00247253"/>
    <w:rsid w:val="002573DD"/>
    <w:rsid w:val="00280351"/>
    <w:rsid w:val="00285D6F"/>
    <w:rsid w:val="002A722F"/>
    <w:rsid w:val="002F1910"/>
    <w:rsid w:val="003145F7"/>
    <w:rsid w:val="00317434"/>
    <w:rsid w:val="003572A4"/>
    <w:rsid w:val="003B19DC"/>
    <w:rsid w:val="003F26A8"/>
    <w:rsid w:val="00435B7E"/>
    <w:rsid w:val="00592B22"/>
    <w:rsid w:val="005B4743"/>
    <w:rsid w:val="00602ABB"/>
    <w:rsid w:val="006257F7"/>
    <w:rsid w:val="00666C52"/>
    <w:rsid w:val="00672759"/>
    <w:rsid w:val="006B5810"/>
    <w:rsid w:val="006E3139"/>
    <w:rsid w:val="0074747A"/>
    <w:rsid w:val="00794438"/>
    <w:rsid w:val="007963FD"/>
    <w:rsid w:val="00797D39"/>
    <w:rsid w:val="007B1AC6"/>
    <w:rsid w:val="007B3CB5"/>
    <w:rsid w:val="0083577E"/>
    <w:rsid w:val="008648E0"/>
    <w:rsid w:val="00872FEF"/>
    <w:rsid w:val="0089186E"/>
    <w:rsid w:val="008B2889"/>
    <w:rsid w:val="008C1D4C"/>
    <w:rsid w:val="008C2636"/>
    <w:rsid w:val="009130E5"/>
    <w:rsid w:val="00914856"/>
    <w:rsid w:val="009D4894"/>
    <w:rsid w:val="009E0F62"/>
    <w:rsid w:val="00A239DF"/>
    <w:rsid w:val="00A5798A"/>
    <w:rsid w:val="00AB49BA"/>
    <w:rsid w:val="00B027A7"/>
    <w:rsid w:val="00B02B54"/>
    <w:rsid w:val="00B63701"/>
    <w:rsid w:val="00C51FB9"/>
    <w:rsid w:val="00CF1559"/>
    <w:rsid w:val="00CF2982"/>
    <w:rsid w:val="00D038CD"/>
    <w:rsid w:val="00D22D55"/>
    <w:rsid w:val="00DF260D"/>
    <w:rsid w:val="00E0672A"/>
    <w:rsid w:val="00E55438"/>
    <w:rsid w:val="00E94882"/>
    <w:rsid w:val="00EC12C2"/>
    <w:rsid w:val="00EE01F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  <w:style w:type="paragraph" w:styleId="Poprawka">
    <w:name w:val="Revision"/>
    <w:hidden/>
    <w:uiPriority w:val="99"/>
    <w:semiHidden/>
    <w:rsid w:val="0074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  <w:style w:type="paragraph" w:styleId="Poprawka">
    <w:name w:val="Revision"/>
    <w:hidden/>
    <w:uiPriority w:val="99"/>
    <w:semiHidden/>
    <w:rsid w:val="0074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61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8AA4-EC1B-4025-BB8C-0AC6D55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uzytkownik</cp:lastModifiedBy>
  <cp:revision>2</cp:revision>
  <dcterms:created xsi:type="dcterms:W3CDTF">2025-09-17T08:57:00Z</dcterms:created>
  <dcterms:modified xsi:type="dcterms:W3CDTF">2025-09-17T08:57:00Z</dcterms:modified>
</cp:coreProperties>
</file>