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C2" w:rsidRDefault="000E29C2">
      <w:pPr>
        <w:spacing w:after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Kryteria oceniania ogólne dla klas I-III</w:t>
      </w:r>
    </w:p>
    <w:tbl>
      <w:tblPr>
        <w:tblW w:w="1488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0E29C2">
        <w:trPr>
          <w:cantSplit/>
        </w:trPr>
        <w:tc>
          <w:tcPr>
            <w:tcW w:w="1984" w:type="dxa"/>
            <w:vMerge w:val="restart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8" w:type="dxa"/>
            <w:gridSpan w:val="3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POZIOM PODSTAWOWY</w:t>
            </w:r>
          </w:p>
        </w:tc>
        <w:tc>
          <w:tcPr>
            <w:tcW w:w="6522" w:type="dxa"/>
            <w:gridSpan w:val="3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POZIOM PONADPODSTAWOWY</w:t>
            </w:r>
          </w:p>
        </w:tc>
      </w:tr>
      <w:tr w:rsidR="000E29C2">
        <w:trPr>
          <w:cantSplit/>
        </w:trPr>
        <w:tc>
          <w:tcPr>
            <w:tcW w:w="1984" w:type="dxa"/>
            <w:vMerge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NIEDOSTATECZNA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DOPUSZCZAJĄCA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DOSTATECZNA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DOBRA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BARDZO DOBRA</w:t>
            </w:r>
          </w:p>
        </w:tc>
        <w:tc>
          <w:tcPr>
            <w:tcW w:w="2270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CELUJĄCA</w:t>
            </w:r>
          </w:p>
        </w:tc>
      </w:tr>
      <w:tr w:rsidR="000E29C2">
        <w:tc>
          <w:tcPr>
            <w:tcW w:w="1984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NISKI STOPIEŃ SPEŁNIENIA WYMAGAŃ EDUKACYJNYCH</w:t>
            </w:r>
          </w:p>
        </w:tc>
        <w:tc>
          <w:tcPr>
            <w:tcW w:w="2126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PODSTAWOWY STOPIEŃ SPEŁNIENIA WYMAGAŃ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126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 STOPIEŃ SPEŁNIENIA WYMAGAŃ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126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WYSOKI STOPIEŃ SPEŁNIANIA WYMAGAŃ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270" w:type="dxa"/>
            <w:vAlign w:val="center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</w:tr>
      <w:tr w:rsidR="000E29C2">
        <w:trPr>
          <w:cantSplit/>
        </w:trPr>
        <w:tc>
          <w:tcPr>
            <w:tcW w:w="1984" w:type="dxa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Wiadomości: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środki językowe,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fonetyka,</w:t>
            </w:r>
          </w:p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ortografia,</w:t>
            </w:r>
          </w:p>
        </w:tc>
        <w:tc>
          <w:tcPr>
            <w:tcW w:w="2126" w:type="dxa"/>
            <w:vMerge w:val="restart"/>
            <w:vAlign w:val="center"/>
          </w:tcPr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Braki w wiadomościach i umiejętnościach są na tyle rozległe, że uniemożliwiają mu naukę na kolejnych etapach.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ograniczoną liczbę podstawowych słów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wyrażeń,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popełnia liczne błędy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w ich zapisie i wymowie,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proste, elementarne struktury gramatyczne wprowadzone przez nauczyciela,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część wprowadzonych słów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wyrażeń,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sporo błędów w ich zapisie i wymowie,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większość wprowadzonych struktur gramatycznych,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sporo błędów leksykalno-gramatycznych</w:t>
            </w:r>
            <w:r>
              <w:rPr>
                <w:rFonts w:ascii="Calibri" w:hAnsi="Calibri" w:cs="Calibri"/>
                <w:b w:val="0"/>
                <w:bCs w:val="0"/>
              </w:rPr>
              <w:br/>
              <w:t>w trudniejszych zadaniach.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większość wprowadzonych słów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wyrażeń,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zwykle poprawnie je zapisuje i wymawia,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struktury gramatyczne,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słowa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wyrażenia,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poprawnie je zapisuje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 wymawia,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struktury gramatyczne,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  <w:vAlign w:val="center"/>
          </w:tcPr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Ocenę celującą otrzymuje uczeń, który w wysokim stopniu opanował wiedzę i umiejętności określone programem nauczania.*</w:t>
            </w:r>
          </w:p>
          <w:p w:rsidR="000E29C2" w:rsidRDefault="000E29C2">
            <w:pPr>
              <w:suppressLineNumbers/>
              <w:jc w:val="center"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jc w:val="center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0E29C2" w:rsidRDefault="000E29C2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*W świetle obowiązujących przepisów ocena ucznia ma wynikać ze stopnia przyswojenia przez niego treści wynikających z podstawy programowej.</w:t>
            </w:r>
          </w:p>
          <w:p w:rsidR="000E29C2" w:rsidRDefault="000E29C2">
            <w:pPr>
              <w:suppressLineNumbers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0E29C2" w:rsidRDefault="000E29C2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E29C2">
        <w:trPr>
          <w:cantSplit/>
        </w:trPr>
        <w:tc>
          <w:tcPr>
            <w:tcW w:w="1984" w:type="dxa"/>
            <w:vMerge w:val="restart"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Umiejętności</w:t>
            </w:r>
          </w:p>
        </w:tc>
        <w:tc>
          <w:tcPr>
            <w:tcW w:w="2126" w:type="dxa"/>
            <w:vMerge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Recepcja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rozumie polecenia nauczyciela,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 ograniczonym stopniu rozwiązuje zadania na słuchanie – rozumie pojedyncze słowa.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Recepcja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częściowo poprawnie rozwiązuje zadania na słuchanie.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Recepcja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poprawnie rozwiązuje zadania na słuchanie.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Recepcja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poprawnie rozwiązuje zadania na słuchanie,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zwykle potrafi uzasadnić swoje odpowiedzi.</w:t>
            </w:r>
          </w:p>
        </w:tc>
        <w:tc>
          <w:tcPr>
            <w:tcW w:w="2270" w:type="dxa"/>
            <w:vMerge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E29C2">
        <w:trPr>
          <w:cantSplit/>
          <w:trHeight w:val="4910"/>
        </w:trPr>
        <w:tc>
          <w:tcPr>
            <w:tcW w:w="1984" w:type="dxa"/>
            <w:vMerge/>
          </w:tcPr>
          <w:p w:rsidR="000E29C2" w:rsidRDefault="000E29C2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</w:rPr>
              <w:t>wypowiedzi ucznia nie są płynne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</w:t>
            </w:r>
            <w:r>
              <w:rPr>
                <w:rFonts w:ascii="Calibri" w:hAnsi="Calibri" w:cs="Calibri"/>
                <w:b w:val="0"/>
                <w:bCs w:val="0"/>
              </w:rPr>
              <w:br/>
              <w:t>i uzyskuje niewielką część istotnych informacji,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niewielki zakres słownictwa</w:t>
            </w:r>
            <w:r>
              <w:rPr>
                <w:rFonts w:ascii="Calibri" w:hAnsi="Calibri" w:cs="Calibri"/>
                <w:b w:val="0"/>
                <w:bCs w:val="0"/>
              </w:rPr>
              <w:br/>
              <w:t>i struktur,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liczne błędy leksykalno-gramatyczne.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</w:rPr>
              <w:t>wypowiedzi nie są zbyt płynne, ale mają dostateczną długość,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</w:t>
            </w:r>
            <w:r>
              <w:rPr>
                <w:rFonts w:ascii="Calibri" w:hAnsi="Calibri" w:cs="Calibri"/>
                <w:b w:val="0"/>
                <w:bCs w:val="0"/>
              </w:rPr>
              <w:br/>
              <w:t>i uzyskuje większość istotnych informacji,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słownictwo i struktury odpowiednie do formy wypowiedzi,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sporo błędów leksykalno-gramatycznych.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dość płynne i mają odpowiednią długość,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</w:t>
            </w:r>
            <w:r>
              <w:rPr>
                <w:rFonts w:ascii="Calibri" w:hAnsi="Calibri" w:cs="Calibri"/>
                <w:b w:val="0"/>
                <w:bCs w:val="0"/>
              </w:rPr>
              <w:br/>
              <w:t>i uzyskuje wszystkie istotne informacje,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logiczne i w miarę spójne,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uczeń stosuje adekwatne do tematu słownictwo 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i struktury,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nieliczne błędy leksykalno-gramatyczne, nie zakłócające komunikacji.</w:t>
            </w:r>
          </w:p>
        </w:tc>
        <w:tc>
          <w:tcPr>
            <w:tcW w:w="2126" w:type="dxa"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płynne i mają odpowiednią długość,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</w:t>
            </w:r>
            <w:r>
              <w:rPr>
                <w:rFonts w:ascii="Calibri" w:hAnsi="Calibri" w:cs="Calibri"/>
                <w:b w:val="0"/>
                <w:bCs w:val="0"/>
              </w:rPr>
              <w:br/>
              <w:t>i uzyskuje wszystkie wymagane informacje,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są logiczne i spójne,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bogate słownictwo i struktury,</w:t>
            </w:r>
          </w:p>
          <w:p w:rsidR="000E29C2" w:rsidRDefault="000E29C2">
            <w:pPr>
              <w:pStyle w:val="Zawarto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sporadyczne błędy leksykalno-gramatyczne.</w:t>
            </w:r>
          </w:p>
        </w:tc>
        <w:tc>
          <w:tcPr>
            <w:tcW w:w="2270" w:type="dxa"/>
            <w:vMerge/>
          </w:tcPr>
          <w:p w:rsidR="000E29C2" w:rsidRDefault="000E29C2">
            <w:pPr>
              <w:pStyle w:val="Zawartotabeli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:rsidR="000E29C2" w:rsidRDefault="000E29C2">
      <w:pPr>
        <w:suppressAutoHyphens w:val="0"/>
        <w:snapToGrid/>
        <w:rPr>
          <w:rFonts w:ascii="Calibri" w:hAnsi="Calibri" w:cs="Calibri"/>
          <w:sz w:val="20"/>
          <w:szCs w:val="20"/>
          <w:lang w:eastAsia="pl-PL"/>
        </w:rPr>
      </w:pPr>
    </w:p>
    <w:p w:rsidR="000E29C2" w:rsidRDefault="000E29C2">
      <w:pPr>
        <w:suppressAutoHyphens w:val="0"/>
        <w:snapToGrid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Zakres oceniania osiągnięć edukacyjnych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Ocenianiu podlegają: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sprawności językowe, materiał leksykalno-gramatyczny oraz aktywność uczniów.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Sprawdzanie i ocenianie uczniów odbywa się systematycznie.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Ocenie podlegają zarówno wypowiedzi ustne, jak i pisemne uczniów.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Po omówieniu każdego rozdziału podręcznika uczniowie piszą pracę klasową lub sprawdzian sprawdzający opanowanie przez nich treści kształcenia.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>Pomiędzy poszczególnymi sprawdzianami nauczyciel może przeprowadzić również kartkówkę, test lub inny sprawdzian z mniejszej partii materiału lub z danego zagadnienia leksykalnego bądź gramatycznego (np. sprawdzian ze znajomości słownictwa).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Wypowiedzi pisemne mogą obejmować także zadania projektowe, nad którymi uczniowie pracują samodzielnie.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Oceniane są również wypowiedzi ustne dotyczące omawianych tematów.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Ocenianiu podlegają też prace domowe, stanowiące dowód pracy własnej ucznia. 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>Sposobem sprawdzania i oceniania osiągnięć jest także obserwacja pracy uczniów na lekcji.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Nauczyciel nagradza ich za aktywne uczestnictwo w zajęciach, minimum 1 raz w półroczu.</w:t>
      </w:r>
    </w:p>
    <w:p w:rsidR="000E29C2" w:rsidRDefault="000E29C2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Aktywność na lekcji</w:t>
      </w: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en-US"/>
        </w:rPr>
        <w:t>Uczniowie wykazujący się dużą aktywnością na lekcji nagradzani są plusami. Trzy plusy decydują o wystawieniu oceny bardzo dobrej.</w:t>
      </w: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Przygotowanie do lekcji </w:t>
      </w:r>
    </w:p>
    <w:p w:rsidR="000E29C2" w:rsidRDefault="000E29C2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en-US"/>
        </w:rPr>
        <w:t>Obowiązkiem każdego ucznia jest  przygotowanie z trzech ostatnich tematów lekcyjnych oraz posiadanie na każdej lekcji zeszytu, podręcznika i zeszytu ćwiczeń. Brak którejś z pomocy odnotowywany jest w dzienniku lekcyjnym poprzez wpisanie minusa. Trzeci minus równoznaczny jest z otrzymaniem oceny niedostatecznej.</w:t>
      </w:r>
    </w:p>
    <w:p w:rsidR="000E29C2" w:rsidRDefault="000E29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29C2" w:rsidSect="000E29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9C2"/>
    <w:rsid w:val="000E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napToGrid w:val="0"/>
    </w:pPr>
    <w:rPr>
      <w:rFonts w:ascii="Arial" w:hAnsi="Arial" w:cs="Arial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797</Words>
  <Characters>4547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 ogólne dla klas I-III</dc:title>
  <dc:subject/>
  <dc:creator>Uzytkownik</dc:creator>
  <cp:keywords/>
  <dc:description/>
  <cp:lastModifiedBy>xy</cp:lastModifiedBy>
  <cp:revision>2</cp:revision>
  <dcterms:created xsi:type="dcterms:W3CDTF">2020-10-06T16:19:00Z</dcterms:created>
  <dcterms:modified xsi:type="dcterms:W3CDTF">2020-10-06T16:19:00Z</dcterms:modified>
</cp:coreProperties>
</file>