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4798ED" w:sz="6" w:space="6"/>
          <w:bottom w:val="single" w:color="4798ED" w:sz="6" w:space="6"/>
        </w:pBdr>
        <w:shd w:val="clear" w:color="auto" w:fill="FFFFFF"/>
        <w:spacing w:after="150" w:line="240" w:lineRule="auto"/>
        <w:ind w:left="-75" w:right="-75"/>
        <w:outlineLvl w:val="0"/>
        <w:rPr>
          <w:rFonts w:ascii="Arial" w:hAnsi="Arial" w:eastAsia="Times New Roman" w:cs="Arial"/>
          <w:b/>
          <w:bCs/>
          <w:color w:val="000CA0"/>
          <w:kern w:val="36"/>
          <w:sz w:val="18"/>
          <w:szCs w:val="18"/>
          <w:lang w:eastAsia="pl-PL"/>
        </w:rPr>
      </w:pPr>
      <w:r>
        <w:rPr>
          <w:rFonts w:ascii="Arial" w:hAnsi="Arial" w:eastAsia="Times New Roman" w:cs="Arial"/>
          <w:b/>
          <w:bCs/>
          <w:color w:val="000CA0"/>
          <w:kern w:val="36"/>
          <w:sz w:val="18"/>
          <w:szCs w:val="18"/>
          <w:lang w:eastAsia="pl-PL"/>
        </w:rPr>
        <w:t>XI edycja ogólnopolskiego programu edukacji antynikotynowej dla dzieci przedszkolnych "Czyste powietrze wokół nas" w roku szkolnym 2018/2019</w:t>
      </w:r>
    </w:p>
    <w:p>
      <w:pPr>
        <w:shd w:val="clear" w:color="auto" w:fill="FFFFFF"/>
        <w:spacing w:after="75" w:line="240" w:lineRule="auto"/>
        <w:jc w:val="both"/>
        <w:rPr>
          <w:rFonts w:ascii="Arial" w:hAnsi="Arial" w:eastAsia="Times New Roman" w:cs="Arial"/>
          <w:color w:val="000CA0"/>
          <w:sz w:val="18"/>
          <w:szCs w:val="18"/>
          <w:lang w:eastAsia="pl-PL"/>
        </w:rPr>
      </w:pPr>
      <w:r>
        <w:rPr>
          <w:rFonts w:ascii="Arial" w:hAnsi="Arial" w:eastAsia="Times New Roman" w:cs="Arial"/>
          <w:color w:val="000CA0"/>
          <w:sz w:val="18"/>
          <w:szCs w:val="18"/>
          <w:lang w:eastAsia="pl-PL"/>
        </w:rPr>
        <w:t>Program adresowany jest do dzieci pięcio i sześcioletnich oraz ich rodziców. Celem programu jest wzrost kompetencji rodziców w zakresie ochrony dzieci przed ekspozycją na dym tytoniowy oraz zwiększenie umiejętności dzieci w zakresie radzenia sobie w sytuacjach, gdy przebywają w zadymionych pomieszczeniach lub gdy dorośli palą przy nich tytoń. Program jest pierwszym etapem edukacji prozdrowotnej dzieci w zakresie nabywania wiedzy na temat szkodliwości palenia. Zajęcia edukacyjne dla dzieci prowadzą wychowawcy grup przedszkolnych III ,IV i VII Przedszkola nr 1 z z Oddziałami Integracyjnymi w Łapach wykorzystując materiały edukacyjne przygotowane przez Państwową Inspekcję Sanitarną .Realizowane będą także zadania wg opracowanego harmonogramu w terminie od XI 2018 do III 2019.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CA0"/>
          <w:sz w:val="18"/>
          <w:szCs w:val="18"/>
          <w:lang w:eastAsia="pl-PL"/>
        </w:rPr>
      </w:pPr>
      <w:r>
        <w:rPr>
          <w:rFonts w:ascii="Arial" w:hAnsi="Arial" w:eastAsia="Times New Roman" w:cs="Arial"/>
          <w:color w:val="000CA0"/>
          <w:sz w:val="18"/>
          <w:szCs w:val="18"/>
          <w:lang w:eastAsia="pl-PL"/>
        </w:rPr>
        <w:t>Program adresowany do dzieci składa się z pięciu zajęć </w:t>
      </w:r>
    </w:p>
    <w:p>
      <w:pPr>
        <w:shd w:val="clear" w:color="auto" w:fill="FFFFFF"/>
        <w:spacing w:after="75" w:line="240" w:lineRule="auto"/>
        <w:jc w:val="both"/>
        <w:rPr>
          <w:rFonts w:ascii="Arial" w:hAnsi="Arial" w:eastAsia="Times New Roman" w:cs="Arial"/>
          <w:color w:val="000CA0"/>
          <w:sz w:val="18"/>
          <w:szCs w:val="18"/>
          <w:lang w:eastAsia="pl-PL"/>
        </w:rPr>
      </w:pPr>
      <w:r>
        <w:rPr>
          <w:rFonts w:ascii="Arial" w:hAnsi="Arial" w:eastAsia="Times New Roman" w:cs="Arial"/>
          <w:color w:val="000CA0"/>
          <w:sz w:val="18"/>
          <w:szCs w:val="18"/>
          <w:lang w:eastAsia="pl-PL"/>
        </w:rPr>
        <w:t>1.Wycieczka – podczas której dzieci będą obserwowały różne źródła dymu.</w:t>
      </w:r>
    </w:p>
    <w:p>
      <w:pPr>
        <w:shd w:val="clear" w:color="auto" w:fill="FFFFFF"/>
        <w:spacing w:after="75" w:line="240" w:lineRule="auto"/>
        <w:jc w:val="both"/>
        <w:rPr>
          <w:rFonts w:ascii="Arial" w:hAnsi="Arial" w:eastAsia="Times New Roman" w:cs="Arial"/>
          <w:color w:val="000CA0"/>
          <w:sz w:val="18"/>
          <w:szCs w:val="18"/>
          <w:lang w:eastAsia="pl-PL"/>
        </w:rPr>
      </w:pPr>
      <w:r>
        <w:rPr>
          <w:rFonts w:ascii="Arial" w:hAnsi="Arial" w:eastAsia="Times New Roman" w:cs="Arial"/>
          <w:color w:val="000CA0"/>
          <w:sz w:val="18"/>
          <w:szCs w:val="18"/>
          <w:lang w:eastAsia="pl-PL"/>
        </w:rPr>
        <w:t>2.Co i dlaczego dymi –dzieci opowiedzą o różnych źródłach dymu, przyczynach wydobywania się dymów.</w:t>
      </w:r>
    </w:p>
    <w:p>
      <w:pPr>
        <w:shd w:val="clear" w:color="auto" w:fill="FFFFFF"/>
        <w:spacing w:after="75" w:line="240" w:lineRule="auto"/>
        <w:jc w:val="both"/>
        <w:rPr>
          <w:rFonts w:ascii="Arial" w:hAnsi="Arial" w:eastAsia="Times New Roman" w:cs="Arial"/>
          <w:color w:val="000CA0"/>
          <w:sz w:val="18"/>
          <w:szCs w:val="18"/>
          <w:lang w:eastAsia="pl-PL"/>
        </w:rPr>
      </w:pPr>
      <w:r>
        <w:rPr>
          <w:rFonts w:ascii="Arial" w:hAnsi="Arial" w:eastAsia="Times New Roman" w:cs="Arial"/>
          <w:color w:val="000CA0"/>
          <w:sz w:val="18"/>
          <w:szCs w:val="18"/>
          <w:lang w:eastAsia="pl-PL"/>
        </w:rPr>
        <w:t>3.Jak się czuję, kiedy dymi papieros? – dzieci dowiedzą się o szkodliwości dymu tytoniowego.</w:t>
      </w:r>
    </w:p>
    <w:p>
      <w:pPr>
        <w:shd w:val="clear" w:color="auto" w:fill="FFFFFF"/>
        <w:spacing w:after="75" w:line="240" w:lineRule="auto"/>
        <w:jc w:val="both"/>
        <w:rPr>
          <w:rFonts w:ascii="Arial" w:hAnsi="Arial" w:eastAsia="Times New Roman" w:cs="Arial"/>
          <w:color w:val="000CA0"/>
          <w:sz w:val="18"/>
          <w:szCs w:val="18"/>
          <w:lang w:eastAsia="pl-PL"/>
        </w:rPr>
      </w:pPr>
      <w:r>
        <w:rPr>
          <w:rFonts w:ascii="Arial" w:hAnsi="Arial" w:eastAsia="Times New Roman" w:cs="Arial"/>
          <w:color w:val="000CA0"/>
          <w:sz w:val="18"/>
          <w:szCs w:val="18"/>
          <w:lang w:eastAsia="pl-PL"/>
        </w:rPr>
        <w:t>4.Co się dzieje, gdy ludzie palą papierosy? – dzieci dowiedzą się o skutkach palenia tytoniu i o szkodliwości biernej ekspozycji na dym tytoniowy.</w:t>
      </w:r>
    </w:p>
    <w:p>
      <w:pPr>
        <w:shd w:val="clear" w:color="auto" w:fill="FFFFFF"/>
        <w:spacing w:after="75" w:line="240" w:lineRule="auto"/>
        <w:jc w:val="both"/>
        <w:rPr>
          <w:rFonts w:ascii="Arial" w:hAnsi="Arial" w:eastAsia="Times New Roman" w:cs="Arial"/>
          <w:color w:val="000CA0"/>
          <w:sz w:val="18"/>
          <w:szCs w:val="18"/>
          <w:lang w:eastAsia="pl-PL"/>
        </w:rPr>
      </w:pPr>
      <w:r>
        <w:rPr>
          <w:rFonts w:ascii="Arial" w:hAnsi="Arial" w:eastAsia="Times New Roman" w:cs="Arial"/>
          <w:color w:val="000CA0"/>
          <w:sz w:val="18"/>
          <w:szCs w:val="18"/>
          <w:lang w:eastAsia="pl-PL"/>
        </w:rPr>
        <w:t>5..Jak uniknąć dymu tytoniowego? – dzieci dowiedzą, się w jakich miejscach mogą być narażone na dym tytoniowy i jak w takiej sytuacji mogą się zachować .</w:t>
      </w:r>
    </w:p>
    <w:p>
      <w:pPr>
        <w:jc w:val="left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Szanowni Rodzice!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Zdrowie naszych dzieci jest dla ka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dego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najwa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niejsz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spraw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. Dbamy oto, aby zapewni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dzieciom jak najlepsze warunki dla harmonijnego rozwoju. Na zdrowie ma wp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yw wiele czynników: opieka zdrowotna, czynniki genetyczne,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rodowisko fizyczne i spo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eczne, a przede wszystkim styl 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ycia i zachowania prozdrowotne (tj. aktywno</w:t>
      </w:r>
      <w:r>
        <w:rPr>
          <w:rFonts w:ascii="Times New Roman" w:hAnsi="Times New Roman" w:cs="Times New Roman"/>
          <w:sz w:val="24"/>
          <w:szCs w:val="24"/>
          <w:lang w:val="pl-PL"/>
        </w:rPr>
        <w:t>ść</w:t>
      </w:r>
      <w:r>
        <w:rPr>
          <w:rFonts w:ascii="Times New Roman" w:hAnsi="Times New Roman" w:cs="Times New Roman"/>
          <w:sz w:val="24"/>
          <w:szCs w:val="24"/>
        </w:rPr>
        <w:t xml:space="preserve"> fizyczna, racjonalne 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ywienie, utrzymywanie czysto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 cia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 i otoczenia, zachowanie bezpiecze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>stwa, utrzymywanie w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ciwych relacji mi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dzy lud</w:t>
      </w:r>
      <w:r>
        <w:rPr>
          <w:rFonts w:ascii="Times New Roman" w:hAnsi="Times New Roman" w:cs="Times New Roman"/>
          <w:sz w:val="24"/>
          <w:szCs w:val="24"/>
          <w:lang w:val="pl-PL"/>
        </w:rPr>
        <w:t>ź</w:t>
      </w:r>
      <w:r>
        <w:rPr>
          <w:rFonts w:ascii="Times New Roman" w:hAnsi="Times New Roman" w:cs="Times New Roman"/>
          <w:sz w:val="24"/>
          <w:szCs w:val="24"/>
        </w:rPr>
        <w:t>mi, a tak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e nie 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ywanie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rodków psychoaktywnych). </w:t>
      </w:r>
      <w:r>
        <w:rPr>
          <w:rFonts w:ascii="Times New Roman" w:hAnsi="Times New Roman" w:cs="Times New Roman"/>
          <w:sz w:val="24"/>
          <w:szCs w:val="24"/>
          <w:lang w:val="pl-PL"/>
        </w:rPr>
        <w:t>Kształtowanie</w:t>
      </w:r>
      <w:r>
        <w:rPr>
          <w:rFonts w:ascii="Times New Roman" w:hAnsi="Times New Roman" w:cs="Times New Roman"/>
          <w:sz w:val="24"/>
          <w:szCs w:val="24"/>
        </w:rPr>
        <w:t xml:space="preserve"> prawid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owych postaw zdrowotnych w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ród dzieci jest najskuteczniejszym dzia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aniem 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profilaktyce palenia tytoniu. Palenie tytoniu jest zjawiskiem powszechnym i stanowi jedn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g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ównych przyczyn umieralno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 w wieku doros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ym. Dlatego, aby zmniejszy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rozmiar tej epidemii, nale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y ju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od najm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odszych lat prowadzi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ród dzieci </w:t>
      </w:r>
      <w:r>
        <w:rPr>
          <w:rFonts w:ascii="Times New Roman" w:hAnsi="Times New Roman" w:cs="Times New Roman"/>
          <w:sz w:val="24"/>
          <w:szCs w:val="24"/>
          <w:lang w:val="pl-PL"/>
        </w:rPr>
        <w:t>edukację</w:t>
      </w:r>
      <w:r>
        <w:rPr>
          <w:rFonts w:ascii="Times New Roman" w:hAnsi="Times New Roman" w:cs="Times New Roman"/>
          <w:sz w:val="24"/>
          <w:szCs w:val="24"/>
        </w:rPr>
        <w:t xml:space="preserve"> antytytoniow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. Badania psychospo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ecznych uwarunkowa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palenia tytoniu du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e znaczenie przypisuj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rodzinnemu, w jakim wzrastaj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dzieci. Nie ulega w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tpliwo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ci, 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pierwszym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rodowiskiem rozwojowym i wychowawczym dziecka jest rodzina, która kszta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tuje wzory zachowa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w odniesieniu do na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ogu palenia tytoniu. Ponadto prawdopodobie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>stwo palenia przez dzieci wzrasta, gdy pal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rodzice lub starsze rodze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>stwo, a tak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e wówczas, gdy rodzice przejawiaj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tolerancj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wobec prób palenia przez ich dzieci. Bior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 pod uwag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fizjologi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rozwoju psychoemocjonalnego dziecka, wspó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czesn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wiedz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temat uwarunkowa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procesu uzale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nienia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od tytoniu przez dzieci oraz epidemiologi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palenia tytoniu w wieku rozwojowym, zasadnym jest przeprowadzenie w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ród dzieci w wieku przedszkolnym programu profilaktyki antytytoniowej. Jest to wiek, w którym kszta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tuj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postawy wobec tytoniu u dzieci cz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sto stykaj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 osobami pal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cymi. W zwi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zku z powy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szym serdecznie zapraszamy do aktywnego udzia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u w przedszkolnej antytytoniowej edukacji. Program profilaktyki tytoniowej pt. „Zdrowe powietrze wokó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nas” ukierunkowany jest na wdra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anie dzieci do podejmowania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wiadomych wyborów, kszta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towanie prozdrowotnych postaw wobec zjawiska palenia tytoniu. Program sk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ada si´ z pi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ciu zaj</w:t>
      </w:r>
      <w:r>
        <w:rPr>
          <w:rFonts w:ascii="Times New Roman" w:hAnsi="Times New Roman" w:cs="Times New Roman"/>
          <w:sz w:val="24"/>
          <w:szCs w:val="24"/>
          <w:lang w:val="pl-PL"/>
        </w:rPr>
        <w:t>ęć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Wycieczka – podczas której dzieci b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obserwowa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y ró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  <w:lang w:val="pl-PL"/>
        </w:rPr>
        <w:t>ź</w:t>
      </w:r>
      <w:r>
        <w:rPr>
          <w:rFonts w:ascii="Times New Roman" w:hAnsi="Times New Roman" w:cs="Times New Roman"/>
          <w:sz w:val="24"/>
          <w:szCs w:val="24"/>
        </w:rPr>
        <w:t>ród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 dymu. Szanowni Rodzice! Wys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uchajcie uwa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nie Waszych dzieci, porozmawiajcie chwil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, podzielcie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swoimi uwagami na temat otaczaj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 Was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rodowiska. Pomó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cie dziecku znale</w:t>
      </w:r>
      <w:r>
        <w:rPr>
          <w:rFonts w:ascii="Times New Roman" w:hAnsi="Times New Roman" w:cs="Times New Roman"/>
          <w:sz w:val="24"/>
          <w:szCs w:val="24"/>
          <w:lang w:val="pl-PL"/>
        </w:rPr>
        <w:t>źć</w:t>
      </w:r>
      <w:r>
        <w:rPr>
          <w:rFonts w:ascii="Times New Roman" w:hAnsi="Times New Roman" w:cs="Times New Roman"/>
          <w:sz w:val="24"/>
          <w:szCs w:val="24"/>
        </w:rPr>
        <w:t xml:space="preserve"> i powycina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 gazet ilustracje z obiektami, z których wydobywa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dym.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 i dlaczego dymi? – dzieci opowiedz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 ró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nych </w:t>
      </w:r>
      <w:r>
        <w:rPr>
          <w:rFonts w:ascii="Times New Roman" w:hAnsi="Times New Roman" w:cs="Times New Roman"/>
          <w:sz w:val="24"/>
          <w:szCs w:val="24"/>
          <w:lang w:val="pl-PL"/>
        </w:rPr>
        <w:t>ź</w:t>
      </w:r>
      <w:r>
        <w:rPr>
          <w:rFonts w:ascii="Times New Roman" w:hAnsi="Times New Roman" w:cs="Times New Roman"/>
          <w:sz w:val="24"/>
          <w:szCs w:val="24"/>
        </w:rPr>
        <w:t>ród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ach dymu, przyczynach wydobywania si´ dymów. Szanowni Rodzice! Wasze dzieci na pewno pochwal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wiedz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temat tego, co i dlaczego dymi. Opowiedz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, jak wspólnie z innymi robi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 gazetk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cianie z prac plastycznych lub k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cik antytytoniowy. W tym dniu przynios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jeszcze jedn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: „papieros dymi, gdy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spala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 nim tyto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>, za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 palenie tytoniu niczemu nie s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y i szkodzi zarówno temu, kto pali, jak równie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osobom wdychaj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cym dym”.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czuj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, kiedy dymi papieros? – dzieci dowiedz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 szkodliwo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 dymu tytoniowego. Szanowni Rodzice! Wys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uchajcie spokojnie wra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Waszego dziecka z 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>wicze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oddechowych, zapytajcie, jakim powietrzem lubi oddycha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>. Dziecko na pewno b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dzie opowiada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 lub pokazywa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 jak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czuj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lub zachowuj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zwierz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ta i kwiaty oddychaj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ce zanieczyszczonym powietrzem. Z przedszkola z pewno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przyniesie portret dinozaura Dinusia, zapytajcie, kim on jest, czego nie lubi. Pomó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cie pokolorowa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dziecku portret Dinusia. Zach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cajcie do dzia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ania i do opowiadania.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dzieje, gdy ludzie pal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papierosy? – dzieci dowiedz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 skutkach palenia tytoniu 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szkodliwo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 biernej ekspozycji na dym tytoniowy. Szanowni Rodzice! Wasze dzieci nauczy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y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piosenki o Dinusiu, z pewno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cià b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dà chcia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y Wam 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piewa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>. Po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  <w:lang w:val="pl-PL"/>
        </w:rPr>
        <w:t>ęć</w:t>
      </w:r>
      <w:r>
        <w:rPr>
          <w:rFonts w:ascii="Times New Roman" w:hAnsi="Times New Roman" w:cs="Times New Roman"/>
          <w:sz w:val="24"/>
          <w:szCs w:val="24"/>
        </w:rPr>
        <w:t>cie im troch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czasu, pos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uchajcie, co maj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Wami do powiedzenia. 5. Jak unika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dymu tytoniowego? – dzieci dowiedz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, w jakich miejscach mog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nara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one na dym tytoniowy i jak w takiej sytuacji mog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zachowa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>. Szanowni Rodzice! Wspierajcie Wasze dzieci, gdy b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broni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przed wdychaniem dymu tytoniowego i narysuj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pl-PL"/>
        </w:rPr>
        <w:t>ź</w:t>
      </w:r>
      <w:r>
        <w:rPr>
          <w:rFonts w:ascii="Times New Roman" w:hAnsi="Times New Roman" w:cs="Times New Roman"/>
          <w:sz w:val="24"/>
          <w:szCs w:val="24"/>
        </w:rPr>
        <w:t xml:space="preserve"> umieszcz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swoim pokoju znak zakazu palenia. Nie z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cicie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nie. Wasze dzieci maj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prawo decydowa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>, co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wokó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nich dzieje. W naszym programie nie wyst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pujemy przeciwko Wam, nie pada ani jedno zdanie dyskryminuj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ce pal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cych rodziców. Chcemy natomiast wdro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Wasze dzieci do podejmowania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wiadomych wyborów wobec palenia tytoniu. Dlatego wa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na jest Wasza wspó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praca z wychowawc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przedszkolnym dziecka. To on udzieli Wam szczegó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owych informacji i wskazówek w zakresie realizacji przedszkolnej edukacji antytytoniowej, do której serdecznie zapraszamy. </w:t>
      </w:r>
    </w:p>
    <w:p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Rodzice, pami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tajcie, 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e programy profilaktyczne realizowane w przedszkolach, a pó</w:t>
      </w:r>
      <w:r>
        <w:rPr>
          <w:rFonts w:ascii="Times New Roman" w:hAnsi="Times New Roman" w:cs="Times New Roman"/>
          <w:sz w:val="24"/>
          <w:szCs w:val="24"/>
          <w:lang w:val="pl-PL"/>
        </w:rPr>
        <w:t>ź</w:t>
      </w:r>
      <w:r>
        <w:rPr>
          <w:rFonts w:ascii="Times New Roman" w:hAnsi="Times New Roman" w:cs="Times New Roman"/>
          <w:sz w:val="24"/>
          <w:szCs w:val="24"/>
        </w:rPr>
        <w:t>niej w szko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ach to nie wszystko! W du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ej mierze to od Was zale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y, czy Wasze dzieci b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mia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y w przysz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 problem z za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ywaniem substancji psychoaktywnych, czy te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nie.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Dlatego pami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tajcie, aby: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pokaza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dobry przyk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ad swoim zachowaniem,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sp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dza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 dzieckiem du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o czasu – jednak nie ilo</w:t>
      </w:r>
      <w:r>
        <w:rPr>
          <w:rFonts w:ascii="Times New Roman" w:hAnsi="Times New Roman" w:cs="Times New Roman"/>
          <w:sz w:val="24"/>
          <w:szCs w:val="24"/>
          <w:lang w:val="pl-PL"/>
        </w:rPr>
        <w:t>ść</w:t>
      </w:r>
      <w:r>
        <w:rPr>
          <w:rFonts w:ascii="Times New Roman" w:hAnsi="Times New Roman" w:cs="Times New Roman"/>
          <w:sz w:val="24"/>
          <w:szCs w:val="24"/>
        </w:rPr>
        <w:t xml:space="preserve"> a jako</w:t>
      </w:r>
      <w:r>
        <w:rPr>
          <w:rFonts w:ascii="Times New Roman" w:hAnsi="Times New Roman" w:cs="Times New Roman"/>
          <w:sz w:val="24"/>
          <w:szCs w:val="24"/>
          <w:lang w:val="pl-PL"/>
        </w:rPr>
        <w:t>ść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liczy!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ucha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uwa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nie tego, co ma do powiedzenia dziecko,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rozmawia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 dzieckiem o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wiecie, nawet na trudne tematy,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ustala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cis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e regu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y dotycz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ce palenia i picia w domu,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prowadzi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wraz z dzieckiem ocen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tego, co oferuj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media, poniewa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rodki masowego przekazu (reklamy, filmy) s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dla dzieci g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ównym </w:t>
      </w:r>
      <w:r>
        <w:rPr>
          <w:rFonts w:ascii="Times New Roman" w:hAnsi="Times New Roman" w:cs="Times New Roman"/>
          <w:sz w:val="24"/>
          <w:szCs w:val="24"/>
          <w:lang w:val="pl-PL"/>
        </w:rPr>
        <w:t>ź</w:t>
      </w:r>
      <w:r>
        <w:rPr>
          <w:rFonts w:ascii="Times New Roman" w:hAnsi="Times New Roman" w:cs="Times New Roman"/>
          <w:sz w:val="24"/>
          <w:szCs w:val="24"/>
        </w:rPr>
        <w:t>ród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em informacji na temat picia alkoholu, palenia papierosów i 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ywania narkotyków,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pomaga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dzieciom w kszta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towaniu pozytywnego wizerunku w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asnej osoby poprzez zach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cenie do pracy nad sob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oraz unikanie porównywania ich z innymi. Negatywne wyobra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enie o sobie sprzyja u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ywaniu </w:t>
      </w: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>
        <w:rPr>
          <w:rFonts w:ascii="Times New Roman" w:hAnsi="Times New Roman" w:cs="Times New Roman"/>
          <w:sz w:val="24"/>
          <w:szCs w:val="24"/>
        </w:rPr>
        <w:t>rodków psychoaktywnych, pozytywny stosunek do w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asnej osoby uodparnia na presj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spo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eczn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zach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dziecko do aktywnego i twórczego sp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dzania wolnego czasu.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Rodzice, w przedszkolu uzyskacie adresy placówek zajmuj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profilaktyk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 terapi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uzale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odtytoniowych w Waszym regionie.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placówek zajmuj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profilaktyk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 terapi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uzale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odtytoniowych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Telefoniczna Poradnia Pomocy Pal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cym – Centrum Onkologii u. Roentgena 5 Warszawa tel. 0 801 108 108 Czas pracy: poniedzia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ek – pi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tek, godz. 11.00-19.00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zak</w:t>
      </w:r>
      <w:r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</w:rPr>
        <w:t>adów opieki zdrowotnej zajmuj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profilaktyk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 terapi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uzale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odtytoniowych w rejonie zamieszkania dostarcz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powiatowe stacje sanitarno – epidemiologiczne.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851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działań XI edycji Programu przedszkolnej edukacji antytytoniowej</w:t>
      </w:r>
    </w:p>
    <w:p>
      <w:pPr>
        <w:spacing w:after="0"/>
        <w:ind w:left="-851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„Czyste powietrze wokół nas”</w:t>
      </w:r>
    </w:p>
    <w:p>
      <w:pPr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realizowanego w Przedszkolu nr 1 z Oddziałami Integracyjnymi w Łapach</w:t>
      </w:r>
    </w:p>
    <w:p>
      <w:pPr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2018/2019</w:t>
      </w:r>
    </w:p>
    <w:p>
      <w:pPr>
        <w:spacing w:after="0"/>
        <w:ind w:left="-284"/>
        <w:jc w:val="center"/>
        <w:rPr>
          <w:sz w:val="28"/>
          <w:szCs w:val="28"/>
        </w:rPr>
      </w:pPr>
    </w:p>
    <w:tbl>
      <w:tblPr>
        <w:tblStyle w:val="4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6"/>
        <w:gridCol w:w="3038"/>
        <w:gridCol w:w="196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ind w:left="-119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   Zakres działań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Forma realizacji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Odpowiedzialni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Termin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Udział w szkoleniu koordynatorów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szkolenie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 .Ołtarzewska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 X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Zebranie organizacyjne w ramach WDN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-udzielenie informacji o programie nauczycielom grup :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*III 6-latków „Słoneczniki”,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*IV 5-6- latków „Bratki”,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*VII 5-latków „Niezapominajki”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przekazanie materiałów do realizacji programu.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eastAsiaTheme="minorHAnsi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WDN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E. Ołtarzewska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 X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Opracowanie harmonogramu działań  programowych.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WDN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E. Ołtarzewska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Umieszczenie „Listu do Rodziców”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i informacji o realizowanym programie.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Strona internetowa przedszkola-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E. Ołtarzewska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Zapoznanie rodziców z założeniami programu oraz uzyskanie wyrażenia zgody przez rodzica na udział dziecka w programie.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Zebrania z rodzicami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*grupa III,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*grupa IV,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*grupa VII.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A.Brejnak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E. Ołtarzewska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 .Dąbrowska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M. Domaszewska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2018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2018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„Światowy dzień rzucania papierosów”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akcja edukacyjna pracowników przedszkola,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-gazetka informacyjna - umieszczenie plakatów i ulotek na sztaludze dostępnej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dla pracowników i rodziców.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Szkolenie edukacyjne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 .Ołtarzewska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Przeprowadzenie cyklu 5 zajęć warsztatowych z wykorzystaniem scenariuszy dostępnych w programie: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1.Zajęcie I. Wycieczka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2.Zajęcie II. Co i dlaczego dymi?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3.Zajęcie III. Jak się czuję, kiedy dymi papieros?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4.Zajęcie IV. Co się dzieje, gdy ludzie palą papierosy?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5.Zajęcie V. Jak unikać dymu papierosowego?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*Zajęcia w grupach III,IV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na podstawie tematyki kompleksowej planu pracy wychowawczo-dydaktycznej,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Zajęcia w grupie VII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na podstawie tematyki kompleksowej planu pracy wychowawczo-dydaktycznej,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*umieszczenie zdjęć na stronie internetowej przedszkola.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A. Brejnak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B. Dąbrowska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2018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XII 2018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  2018</w:t>
            </w:r>
          </w:p>
        </w:tc>
      </w:tr>
    </w:tbl>
    <w:p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4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551"/>
        <w:gridCol w:w="212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Przygotowanie gazetki tematycznej.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Ekspozycja w sali  grupy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*III, IV,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*VII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A. Brejnak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B. Dąbrowska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 2018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XII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Kolorowanki  „Źródła dymu” i prace plastyczne dotyczące realizowanego programu.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-podczas zajęć porannych i popołudniowych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*grupa III i IV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*grupa VII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A. Brejnak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E. Ołtarzewska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B. Dąbrowska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M. Domaszewska</w:t>
            </w:r>
          </w:p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XI -IV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r.szk.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2018/2019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r.szk.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XII - IV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2018/2019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Wystawa plakatów  podsumowująca realizację  Programu przedszkolnej edukacji antytytoniowej „Czyste powietrze wokół nas”.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Wykonanie plakatów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*ekspozycja na holu,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*umieszczenie zdjęć na stronie internetowej przedszkola.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E. Ołtarzewska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A. Brejnak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B. Dąbrowska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M. Domaszewska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IV 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Spotkanie z rodzicami – podsumowanie działań podjętych  w ramach Programu przedszkolnej edukacji antytytoniowej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„Czyste powietrze wokół nas”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Zebrania z rodzicami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E. Ołtarzewska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K. Falkowska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A. Brejnak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B. Dąbrowska</w:t>
            </w:r>
          </w:p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</w:rPr>
              <w:t>M. Domaszewska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V 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Opracowanie sprawozdania z realizacji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Programu przedszkolnej edukacji antytytoniowej „Czyste powietrze wokół nas”. Przekazanie sprawozdania do Państwowej Stacji Sanitarno-Epidemiologicznej.</w:t>
            </w:r>
          </w:p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Wyciągnięcie wniosków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do  sprawozdania z realizacji Programu przedszkolnej edukacji antytytoniowej „Czyste powietrze wokół nas”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 r.szk.2018/2019.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E. Ołtarzewska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V  2019</w:t>
            </w:r>
          </w:p>
        </w:tc>
      </w:tr>
    </w:tbl>
    <w:p>
      <w:pPr>
        <w:ind w:left="-284"/>
        <w:rPr>
          <w:b/>
          <w:sz w:val="28"/>
          <w:szCs w:val="28"/>
        </w:rPr>
      </w:pPr>
    </w:p>
    <w:p>
      <w:pPr>
        <w:ind w:left="-284"/>
        <w:rPr>
          <w:sz w:val="24"/>
          <w:szCs w:val="24"/>
        </w:rPr>
      </w:pPr>
      <w:r>
        <w:rPr>
          <w:sz w:val="24"/>
          <w:szCs w:val="24"/>
        </w:rPr>
        <w:t>Koordynator  programu – Ewa Ołtarzewska ………………………………………………………………</w:t>
      </w:r>
    </w:p>
    <w:p>
      <w:pPr>
        <w:ind w:left="-284"/>
        <w:rPr>
          <w:sz w:val="24"/>
          <w:szCs w:val="24"/>
        </w:rPr>
      </w:pPr>
    </w:p>
    <w:p>
      <w:pPr>
        <w:ind w:left="-284"/>
        <w:rPr>
          <w:sz w:val="24"/>
          <w:szCs w:val="24"/>
        </w:rPr>
      </w:pPr>
      <w:r>
        <w:rPr>
          <w:sz w:val="24"/>
          <w:szCs w:val="24"/>
        </w:rPr>
        <w:t>Osoby realizujące program :</w:t>
      </w:r>
    </w:p>
    <w:p>
      <w:pPr>
        <w:ind w:left="-284"/>
        <w:rPr>
          <w:sz w:val="24"/>
          <w:szCs w:val="24"/>
        </w:rPr>
      </w:pPr>
      <w:r>
        <w:rPr>
          <w:sz w:val="24"/>
          <w:szCs w:val="24"/>
        </w:rPr>
        <w:t>Katarzyna  Falkowska…………………………………………………………………………………………………</w:t>
      </w:r>
    </w:p>
    <w:p>
      <w:pPr>
        <w:ind w:left="-284"/>
        <w:rPr>
          <w:sz w:val="24"/>
          <w:szCs w:val="24"/>
        </w:rPr>
      </w:pPr>
      <w:r>
        <w:rPr>
          <w:sz w:val="24"/>
          <w:szCs w:val="24"/>
        </w:rPr>
        <w:t>Ewa  Ołtarzewska………………………………………………………………………………………………………</w:t>
      </w:r>
    </w:p>
    <w:p>
      <w:pPr>
        <w:ind w:left="-284"/>
        <w:rPr>
          <w:sz w:val="24"/>
          <w:szCs w:val="24"/>
        </w:rPr>
      </w:pPr>
      <w:r>
        <w:rPr>
          <w:sz w:val="24"/>
          <w:szCs w:val="24"/>
        </w:rPr>
        <w:t>Anna Brejnak………………………………………………………………………………………………………………………..</w:t>
      </w:r>
    </w:p>
    <w:p>
      <w:pPr>
        <w:ind w:left="-284"/>
        <w:rPr>
          <w:sz w:val="24"/>
          <w:szCs w:val="24"/>
        </w:rPr>
      </w:pPr>
      <w:r>
        <w:rPr>
          <w:sz w:val="24"/>
          <w:szCs w:val="24"/>
        </w:rPr>
        <w:t>Bożena  Dąbrowska…………………………………………………………………………………………………...</w:t>
      </w:r>
    </w:p>
    <w:p>
      <w:pPr>
        <w:ind w:left="-284"/>
        <w:rPr>
          <w:sz w:val="24"/>
          <w:szCs w:val="24"/>
        </w:rPr>
      </w:pPr>
      <w:r>
        <w:rPr>
          <w:sz w:val="24"/>
          <w:szCs w:val="24"/>
        </w:rPr>
        <w:t>Mirosława  Domaszewska………………………………………………………………………………………….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F1946"/>
    <w:multiLevelType w:val="singleLevel"/>
    <w:tmpl w:val="5BDF19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80CE3"/>
    <w:rsid w:val="002E21C8"/>
    <w:rsid w:val="009247F2"/>
    <w:rsid w:val="00CE7727"/>
    <w:rsid w:val="10E40177"/>
    <w:rsid w:val="19D1429D"/>
    <w:rsid w:val="27AE0527"/>
    <w:rsid w:val="2E180CE3"/>
    <w:rsid w:val="2F2E29CF"/>
    <w:rsid w:val="4C6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1516</Words>
  <Characters>10149</Characters>
  <Lines>84</Lines>
  <Paragraphs>23</Paragraphs>
  <TotalTime>0</TotalTime>
  <ScaleCrop>false</ScaleCrop>
  <LinksUpToDate>false</LinksUpToDate>
  <CharactersWithSpaces>11642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2021-01-28T13:41:00Z</dcterms:created>
  <dc:creator>gacpe</dc:creator>
  <cp:lastModifiedBy>gacper</cp:lastModifiedBy>
  <dcterms:modified xsi:type="dcterms:W3CDTF">2021-01-28T18:34:41Z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