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1C0" w:rsidRDefault="001551C0">
      <w:bookmarkStart w:id="0" w:name="_GoBack"/>
      <w:r>
        <w:rPr>
          <w:noProof/>
        </w:rPr>
        <w:drawing>
          <wp:inline distT="0" distB="0" distL="0" distR="0">
            <wp:extent cx="7711440" cy="11833860"/>
            <wp:effectExtent l="0" t="0" r="3810" b="0"/>
            <wp:docPr id="1" name="Obraz 1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auzula informacyjna w sprawie swobodnego przepływu danych _0003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1183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51C0" w:rsidSect="001551C0">
      <w:pgSz w:w="11906" w:h="16838"/>
      <w:pgMar w:top="0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1C0"/>
    <w:rsid w:val="0015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CCB67B-258C-4D20-B38A-11152266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51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51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90C1F-EC07-47E4-A3AA-8DDEB1A0E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Mieczysław Wełnicki</dc:creator>
  <cp:keywords/>
  <dc:description/>
  <cp:lastModifiedBy>Mieczysław Wełnicki</cp:lastModifiedBy>
  <cp:revision>1</cp:revision>
  <dcterms:created xsi:type="dcterms:W3CDTF">2019-10-31T06:58:00Z</dcterms:created>
  <dcterms:modified xsi:type="dcterms:W3CDTF">2019-10-31T07:04:00Z</dcterms:modified>
</cp:coreProperties>
</file>