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  <w:t>Przedmiotowe zasady oceniania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C8420"/>
          <w:szCs w:val="40"/>
        </w:rPr>
      </w:pPr>
      <w:r>
        <w:rPr>
          <w:rFonts w:cs="Arial" w:ascii="Arial" w:hAnsi="Arial"/>
          <w:b/>
          <w:bCs/>
          <w:color w:val="FC842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C8420"/>
          <w:sz w:val="40"/>
          <w:szCs w:val="40"/>
        </w:rPr>
      </w:pPr>
      <w:r>
        <w:rPr>
          <w:rFonts w:cs="Arial" w:ascii="Arial" w:hAnsi="Arial"/>
          <w:b/>
          <w:bCs/>
          <w:color w:val="FC8420"/>
          <w:sz w:val="40"/>
          <w:szCs w:val="40"/>
        </w:rPr>
        <w:t>Klasa 8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>Wymagania programowe</w:t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I. STATYSTYKA I PRAWDOPODOBIEŃSTWO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91" w:leader="none"/>
              </w:tabs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zestawu liczb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porządkuje dane (np. wyniki ankiety)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doświadczenia losowe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 sposób zbierania danych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opracowuje dane, np. wyniki ankiety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sposoby prezentacji wyników (np. ankiety)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tworzy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18"/>
              </w:rPr>
              <w:t>tabele, diagramy,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18"/>
              </w:rPr>
              <w:t>wykresy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oblicza średnią arytmetyczną w nietypowych sytuacjach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porządkuje dane i oblicza medianę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znacznym stopniu trudności dotyczące prostych doświadczeń losowych, a także układa takie zadania</w:t>
            </w:r>
          </w:p>
        </w:tc>
      </w:tr>
    </w:tbl>
    <w:p>
      <w:pPr>
        <w:pStyle w:val="Normal"/>
        <w:spacing w:lineRule="auto" w:line="276"/>
        <w:jc w:val="center"/>
        <w:rPr/>
      </w:pPr>
      <w:r>
        <w:rPr>
          <w:rFonts w:eastAsia="Arial Unicode MS" w:cs="Arial Unicode MS" w:ascii="Arial Unicode MS" w:hAnsi="Arial Unicode MS"/>
          <w:b/>
        </w:rPr>
        <w:t>ROZDZIAŁ II.</w:t>
      </w:r>
      <w:r>
        <w:rPr>
          <w:b/>
          <w:bCs/>
          <w:sz w:val="20"/>
          <w:szCs w:val="20"/>
        </w:rPr>
        <w:t xml:space="preserve"> </w:t>
      </w:r>
      <w:r>
        <w:rPr>
          <w:rFonts w:eastAsia="Arial Unicode MS" w:cs="Arial Unicode MS" w:ascii="Arial Unicode MS" w:hAnsi="Arial Unicode MS"/>
          <w:b/>
        </w:rPr>
        <w:t>WYRAŻENIA ALGEBRAICZNE I RÓWNANIA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zaznacza na osi liczbowej zbiory liczb spełniających warunek taki jak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&lt; 5 lub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 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≥</m:t>
              </m:r>
            </m:oMath>
            <w:r>
              <w:rPr>
                <w:sz w:val="20"/>
                <w:szCs w:val="20"/>
              </w:rPr>
              <w:t> −2,5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liczbowe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wyodrębnia wyrazy w sumie algebraicznej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sumę algebraiczną przez wyrażenie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dwumian przez dwumian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iloczyn w najprostszej postaci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trudniejszych przypadkach wyniki podanych działań w postaci wyrażeń algebraicznych jednej lub kilku zmiennych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trudniejszych przypadkach zależności przedstawione w zadaniach w postaci wyrażeń algebraicznych jednej lub kilku zmiennych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przekształca skomplikowane wzory geometryczne i fizyczne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równania liniowe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w prostych przypadkach liczby niewymierne na osi liczbowej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wyniki podanych działań w postaci wyrażeń algebraicznych jednej lub kilku zmiennych (w bardziej skomplikowanych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trzy czynniki będące dwumianami lub trójmianami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liczby niewymierne na osi liczbowej, korzystając z twierdzenia Pitagorasa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wyprowadza wzory skróconego mnożenia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uzasadnia, że wyrażenie algebraiczne dla zmiennej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∈</m:t>
              </m:r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III. FIGURY NA PŁASZCZYŹNIE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stosuje pojęcia kątów:</w:t>
            </w:r>
            <w:r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rozwiązuje proste zadania dotyczące miar kątów w trójkątach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odróżnia przykład od dowodu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rozwiązuje proste zadania dotyczące nierówności trójkąt 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4" w:hanging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4" w:hanging="0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 prostych przykładach nierówność trójkąta do określenia warunków, jaki muszą spełniać boki czworokąta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IV. WIELOKĄTY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figury przystające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stosuje w prostych przypadkach cechy przystawania trójkątów do sprawdzania, czy dane trójkąty są przystające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definicję od twierdzenia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foremne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rozwiązuje zadania związane z cechami przystawania trójkątów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dowody prostych twierdzeń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wewnętrznych wielokąta foremnego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wielokąty foremne za pomocą cyrkla i kątomierza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V. GEOMETRIA PRZESTRZENNA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graniastosłupy i ostrosłupy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rozróżnia graniastosłupy proste i pochyłe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rozpoznaje graniastosłupy prawidłowe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odróżnia przekątną graniastosłupa od przekątnej podstawy i przekątnej ściany bocznej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oblicza długość przekątnej ściany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rozwiązuje proste zadania dotyczące graniastosłupów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oblicza objętość graniastosłupa o danym polu podstawy i danej wysokości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rysuje co najmniej jedną siatkę danego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oblicza pole powierzchni graniastosłupa na podstawie danych opisanych na siatce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rozpoznaje ostrosłupy proste i prawidłowe, czworościan oraz czworościan foremny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odczytuje dane z rysunku rzutu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rozwiązuje proste zadania dotyczące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co najmniej jedną siatkę danego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graniastosłupa prawidłowego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 xml:space="preserve">zamienia jednostki objętości, wykorzystując zamianę jednostek długości  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rozwiązuje proste zadania na obliczanie odcinków w ostrosłupach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oblicza objętość ostrosłupa prawidłowego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rozwiązuje proste zadania dotyczące obliczania objętości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>oblicza objętość oraz pole powierzchni brył powstałych z połączenia graniastosłupów i ostrosłupów (w prostych przypadkach)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pola powierzchni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nietypowych brył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powierzchni nietypowych brył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dotyczące obliczania objętości ostrosłupów,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projektuje nietypowe siatki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objętości oraz pola powierzchni brył powstałych połączenia ostrosłupów i graniastosłupów, także w sytuacjach praktycznych</w:t>
            </w:r>
          </w:p>
        </w:tc>
      </w:tr>
    </w:tbl>
    <w:p>
      <w:pPr>
        <w:pStyle w:val="Normal"/>
        <w:spacing w:lineRule="auto" w:line="276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rFonts w:eastAsia="Arial Unicode MS" w:cs="Arial Unicode MS" w:ascii="Arial Unicode MS" w:hAnsi="Arial Unicode MS"/>
          <w:b/>
        </w:rPr>
        <w:t>ROZDZIAŁ VI. POWTÓRZENIE WIADOMOŚCI ZE SZKOŁY PODSTAWOWEJ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liczby przeciwne i liczby odwrotne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cechy podzielności przez 2,3, 4, 5, 9, 10 i 100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 i liczby złożone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bezwzględną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obliczenia zegarowe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obliczenia kalendarzowe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lata przestępne od lat zwykłych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liczb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pierwiastki kwadratowe i sześcienne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prostych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dana liczba jest rozwiązaniem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ocenia, czy wielkości są wprost proporcjonalne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danych długościach boków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wierzchołkowych i przyległych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wewnętrznych czworokąta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dwóch liczb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zwykły na ułamek dziesiętny okresowy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ułamki dziesiętne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liczby naturalne na czynniki pierwsze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problemów w kontekście praktycznym (podwyżki i obniżki danej wielkości)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włącza liczby pod znak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wyłącza liczby spod znaku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podział proporcjonalny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wewnętrznych wielokąta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środek odcinka w układzie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odcinka w układzie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jednostki objętości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zdarzenia: pewne, możliwe i niemożliwe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obliczenia pieniężne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 wykorzystaniem obliczeń procentowych, również dotyczące podwyżek i obniżek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wieloetapowe działania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przybliżone wartości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własności pierwiastków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wyrażenia zawierające pierwiastki stosując włączanie liczby pod znak pierwiastka lub wyłączanie liczby spod znaku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trudniejszych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tekstowe za pomocą równań pierwszego stopnia z jedną niewiadomą, w tym zadania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wzory, aby wyznaczyć daną wielkość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współrzędne końca odcinka w układzie współrzędnych na podstawie współrzędnych środka i drugiego końca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przystawanie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równość pól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na podstawie diagramu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na wykresie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pól trójkątów i czworokątów, także w 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bookmarkStart w:id="0" w:name="_GoBack"/>
      <w:bookmarkEnd w:id="0"/>
      <w:r>
        <w:rPr>
          <w:rFonts w:eastAsia="Arial Unicode MS" w:cs="Arial Unicode MS" w:ascii="Arial Unicode MS" w:hAnsi="Arial Unicode MS"/>
          <w:b/>
        </w:rPr>
        <w:t>ROZDZIAŁ VII. KOŁA I OKRĘGI. SYMETRIE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figury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osiowosymetryczne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środkowosymetryczne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symetralną odcinka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dwusieczną 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wyrażeń zawierających liczbę π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 symetrii w wielokątach foremnych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figury z uwzględnieniem pola koła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pierścienia kołowego o danych średnicach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punkt symetryczny do danego względem danej osi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osi symetrii figury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rPr/>
      </w:pPr>
      <w:r>
        <w:rPr/>
        <w:t>Oceniane są:</w:t>
      </w:r>
    </w:p>
    <w:p>
      <w:pPr>
        <w:pStyle w:val="ListParagraph"/>
        <w:numPr>
          <w:ilvl w:val="0"/>
          <w:numId w:val="1"/>
        </w:numPr>
        <w:rPr/>
      </w:pPr>
      <w:r>
        <w:rPr/>
        <w:t>prace klasowe</w:t>
      </w:r>
    </w:p>
    <w:p>
      <w:pPr>
        <w:pStyle w:val="ListParagraph"/>
        <w:numPr>
          <w:ilvl w:val="0"/>
          <w:numId w:val="1"/>
        </w:numPr>
        <w:rPr/>
      </w:pPr>
      <w:r>
        <w:rPr/>
        <w:t>kartkówki</w:t>
      </w:r>
    </w:p>
    <w:p>
      <w:pPr>
        <w:pStyle w:val="ListParagraph"/>
        <w:numPr>
          <w:ilvl w:val="0"/>
          <w:numId w:val="1"/>
        </w:numPr>
        <w:rPr/>
      </w:pPr>
      <w:r>
        <w:rPr/>
        <w:t>odpowiedzi ustne</w:t>
      </w:r>
    </w:p>
    <w:p>
      <w:pPr>
        <w:pStyle w:val="ListParagraph"/>
        <w:numPr>
          <w:ilvl w:val="0"/>
          <w:numId w:val="1"/>
        </w:numPr>
        <w:rPr/>
      </w:pPr>
      <w:r>
        <w:rPr/>
        <w:t>prace domowe</w:t>
      </w:r>
    </w:p>
    <w:p>
      <w:pPr>
        <w:pStyle w:val="ListParagraph"/>
        <w:numPr>
          <w:ilvl w:val="0"/>
          <w:numId w:val="1"/>
        </w:numPr>
        <w:rPr/>
      </w:pPr>
      <w:r>
        <w:rPr/>
        <w:t>zaangażowanie i aktywność na lekcji</w:t>
      </w:r>
    </w:p>
    <w:p>
      <w:pPr>
        <w:pStyle w:val="ListParagraph"/>
        <w:numPr>
          <w:ilvl w:val="0"/>
          <w:numId w:val="1"/>
        </w:numPr>
        <w:rPr/>
      </w:pPr>
      <w:r>
        <w:rPr/>
        <w:t>prace dodatkowe</w:t>
      </w:r>
    </w:p>
    <w:p>
      <w:pPr>
        <w:pStyle w:val="ListParagraph"/>
        <w:numPr>
          <w:ilvl w:val="0"/>
          <w:numId w:val="1"/>
        </w:numPr>
        <w:rPr/>
      </w:pPr>
      <w:r>
        <w:rPr/>
        <w:t>szczególne osiągnięcia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/>
      </w:r>
      <w:bookmarkStart w:id="1" w:name="_GoBack1"/>
      <w:bookmarkStart w:id="2" w:name="_GoBack1"/>
      <w:bookmarkEnd w:id="2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f613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4">
    <w:name w:val="Heading 4"/>
    <w:basedOn w:val="Normal"/>
    <w:next w:val="Normal"/>
    <w:link w:val="Nagwek4Znak"/>
    <w:uiPriority w:val="99"/>
    <w:unhideWhenUsed/>
    <w:qFormat/>
    <w:rsid w:val="00fe6a1a"/>
    <w:pPr>
      <w:keepNext w:val="true"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Heading4"/>
    <w:uiPriority w:val="99"/>
    <w:qFormat/>
    <w:rsid w:val="00fe6a1a"/>
    <w:rPr>
      <w:rFonts w:ascii="Cambria" w:hAnsi="Cambria" w:eastAsia="Times New Roman" w:cs="Times New Roman"/>
      <w:i/>
      <w:iCs/>
      <w:color w:val="365F91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6a1a"/>
    <w:rPr>
      <w:rFonts w:ascii="Tahoma" w:hAnsi="Tahoma" w:eastAsia="Times New Roman" w:cs="Times New Roman"/>
      <w:sz w:val="16"/>
      <w:szCs w:val="16"/>
      <w:lang w:eastAsia="pl-PL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fe6a1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rsid w:val="00fe6a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uiPriority w:val="99"/>
    <w:semiHidden/>
    <w:unhideWhenUsed/>
    <w:qFormat/>
    <w:rsid w:val="00fe6a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fe6a1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e6a1a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Header"/>
    <w:uiPriority w:val="99"/>
    <w:qFormat/>
    <w:rsid w:val="00fe6a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fe6a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1f5649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TekstpodstawowyZnak"/>
    <w:uiPriority w:val="99"/>
    <w:unhideWhenUsed/>
    <w:rsid w:val="00fe6a1a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a1a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e6a1a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TextBodyIndent">
    <w:name w:val="Body Text Indent"/>
    <w:basedOn w:val="Normal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nhideWhenUsed/>
    <w:qFormat/>
    <w:rsid w:val="00fe6a1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e6a1a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e6a1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fe6a1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fe6a1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66C2-7DF1-4661-9D74-D4247134BF65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2570efc-75cf-496e-87ca-61d359d7a044"/>
    <ds:schemaRef ds:uri="6a58c713-624c-4cd1-a440-51c1ac95028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11</Pages>
  <Words>3533</Words>
  <Characters>24063</Characters>
  <CharactersWithSpaces>26882</CharactersWithSpaces>
  <Paragraphs>733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2024-08-13T17:44:00Z</dcterms:created>
  <dc:creator>ACER-PC</dc:creator>
  <dc:description/>
  <dc:language>pl-PL</dc:language>
  <cp:lastModifiedBy/>
  <dcterms:modified xsi:type="dcterms:W3CDTF">2024-09-16T19:26:41Z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