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  <w:t>Przedmiotowe zasady oceniania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  <w:t>Klasa 7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  <w:t>Wymagania programowe</w:t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I. PROPORCJONALNOŚĆ I PROCENTY</w:t>
      </w:r>
    </w:p>
    <w:p>
      <w:pPr>
        <w:pStyle w:val="Normal"/>
        <w:spacing w:lineRule="auto" w:line="276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proste  przykłady wielkości wprost proporcjonalnych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ułamek danej liczby całkowitej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dotyczące obliczania ułamka danej liczby całkowitej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część wielkości jako procent tej wielkości w prostych przykładach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oblicza, jaki procent danej liczby </w:t>
            </w:r>
            <w:r>
              <w:rPr>
                <w:i/>
                <w:iCs/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 xml:space="preserve">stanowi liczba </w:t>
            </w:r>
            <w:r>
              <w:rPr>
                <w:i/>
                <w:iCs/>
                <w:sz w:val="20"/>
                <w:szCs w:val="20"/>
              </w:rPr>
              <w:t>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100%, 50%, 25%, 10%, 1% danej wielkości jako całość, połowę, jedną czwartą, jedną dziesiątą, jedną setną część danej wielkości liczbowej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ułamek dziesiętny na procent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zamienia ułamek zwykły o mianowniku 2, 4, 5, 20, 25 na procent przez rozszerzenie ułamka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procent wyrażony liczbą całkowitą na ułamek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liczbę, gdy dany jest jej procent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podział proporcjonalny w prostych przykładach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ułamek zwykły na procent przez dzielenie licznika ułamka przez mianownik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odczytuje dane przedstawione na diagramach procentowych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zwiększa i zmniejsza liczbę o dany procent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podaje w punktach procentowych różnicę między wielkościami wyrażonymi w procentach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różnicę procentową między wielkościami wyrażonymi w procentach 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>
              <w:rPr>
                <w:i/>
                <w:iCs/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 xml:space="preserve">stanowi liczba </w:t>
            </w:r>
            <w:r>
              <w:rPr>
                <w:i/>
                <w:iCs/>
                <w:sz w:val="20"/>
                <w:szCs w:val="20"/>
              </w:rPr>
              <w:t>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z wykorzystaniem obliczania liczby, gdy dany jest procent podanego procentu tej liczby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stosunek długości odcinków powstałych z podziału wysokości w trójkącie równobocznym przez punkt przecięcia się tych wysokości, korzystając z własności wielokątów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stosunek pól dwóch trójkątów powstałych z podziału danego trójkąta przez odcinek, którego jeden koniec jest wierzchołkiem trójkąta, a drugi leży na przeciwległym boku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rozwiązuje nietypowe zadania tekstowe z wykorzystaniem obliczania ułamka danej liczby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obliczenia procentowe do rozwiązywania nietypowych problemów również w kontekście praktycznym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nowe stężenie roztworu po zmianie zawartości jego składników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II. POTĘGI</w:t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liczb naturalnych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potęgę o podstawie 10 lub potęgę o podstawie 0,1 w postaci liczby i odwrotnie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znak potęgi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potęg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potęgę potęgi w postaci jednej potęgi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liczbę będącą iloczynem jednakowych czynników w postaci potęgi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potęg liczb wymiernych o wykładnikach naturalnych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potęgi o różnych podstawach i jednakowych wykładnikach, wykorzystując odpowiedni wzór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potęgi o różnych podstawach i jednakowych wykładnikach, wykorzystując odpowiedni wzór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liczby w notacji wykładniczej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liczby zapisane w notacji wykładniczej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 nazw dla liczb wielkich (do biliona)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liczby zapisane w postaci potęg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prawa działań dla wykładników ujemnych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o podwyższonym stopniu trudności  z wykorzystaniem notacji wykładniczej w kontekście praktycznym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 regularności kolejnych potęg liczb całkowitych i ułamków o liczniku 1 i formułuje wnioski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duże liczby wyrażone w postaci potęgi liczby 2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prawa działań na potęgach o wykładniku naturalnym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o wykładniku całkowitym ujemnym</w:t>
            </w:r>
          </w:p>
        </w:tc>
      </w:tr>
    </w:tbl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III. PIERWIASTKI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prostych wyrażeń arytmetycznych, w których występują pierwiastki kwadratowe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pól kwadratów, wykorzystując pierwiastek kwadratowy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pierwiastki wymierne i niewymierne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arytmetycznych, w których występują pierwiastki kwadratowe, pamiętając o zasadach dotyczących kolejności wykonywania działań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wzór na pierwiastek z iloczynu pierwiastków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wzór na pierwiastek z ilorazu pierwiastków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proste wyrażenia zawierające pierwiastki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włącza czynnik pod znak pierwiastka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wyłącza czynnik przed znak pierwiastka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usuwa niewymierność z mianownika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wielkość wyrażenia arytmetycznego zawierającego pierwiastki kwadratowe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arytmetycznych zawierających pierwiastki kwadratowe, stosując własności działań na pierwiastkach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wielkość danego wyrażenia arytmetycznego zawierającego pierwiastki sześcienne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 wykorzystaniem potęg i pierwiastków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z daną liczbą wymierną wartość wyrażenia arytmetycznego zawierającego pierwiastki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wartość liczby spełniającej równość zawierającą pierwiastki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pierwiastek kwadratowy z dużych liczb naturalnych korzystając z rozkładu liczby na czynniki pierwsze lub przez szacowanie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problemy z zastosowaniem działań na liczbach zawierających pierwiastki kwadratowe i sześcienne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wartości wyrażeń arytmetycznych zawierających pierwiastki wyższych stopni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usuwa pierwiastki wyższych stopni z mianownika ułamka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pierwiastek </w:t>
            </w:r>
            <w:r>
              <w:rPr>
                <w:i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-go stopnia z liczby nieujemnej </w:t>
            </w:r>
            <w:r>
              <w:rPr>
                <w:i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w postaci potęgi o podstawie </w:t>
            </w:r>
            <w:r>
              <w:rPr>
                <w:i/>
                <w:sz w:val="20"/>
                <w:szCs w:val="20"/>
              </w:rPr>
              <w:t>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 ostatnią cyfrę zadanej potęgi liczby naturalnej nie większej niż 10</w:t>
            </w:r>
          </w:p>
        </w:tc>
      </w:tr>
    </w:tbl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IV. WYRAŻENIA ALGEBRAICZNE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wyrażenie algebraiczne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zależności i rozwiązania w prostych zadaniach w postaci wyrażeń algebraicznych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sumę, różnicę, iloczyn i iloraz zmiennych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 proste wyrażenia algebraiczne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wyrazy sumy algebraicznej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współczynniki liczbowe wyrazów uporządkowanej sumy algebraicznej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równe wyrażenia algebraiczne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porządkuje wyrazy sumy algebraicznej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dodaje proste sumy algebraiczne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mnoży sumy algebraiczne przez liczby i zmienne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rozwiązania zadań w postaci wyrażeń algebraicznych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wyrażenia algebraiczne w prostych zadaniach geometrycznych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przedstawione w zadaniach w postaci wyrażeń algebraicznych kilku zmiennych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nazywa i zapisuje bardziej złożone wyrażenia algebraiczne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porządkuje wyrażenia algebraiczne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porządkuje złożone iloczyny sumy algebraiczne przez liczby i zmienne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mnożenie sumy algebraicznej przez liczby i zmienne w bardziej złożonych zadaniach geometrycznych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buduje wyrażenia algebraiczne będące uogólnieniem cyklicznie powtarzającej się zależności między wielkoś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ciami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nietypowe zadania związane z układaniem i zapisywaniem wyrażeń algebraicznych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sumę kilku wyrażeń algebraicznych na iloczyn wyłączając wspólny czynnik przed nawias</w:t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V. RÓWNANIA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odgaduje rozwiązanie prostego równania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dana liczba jest rozwiązaniem równania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równania równoważne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równania liniowe z jedną niewiadomą metodą równań równoważnych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oznacza niewiadomą i układa równanie wynikające z treści prostego zadania, rozwiązuje je i podaje odpowiedź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 liczbę rozwiązań równania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równania liniowe z jedną niewiadomą metodą równań równoważnych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treść zadania i oznacza niewiadomą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widowControl w:val="false"/>
              <w:ind w:hanging="0"/>
              <w:rPr/>
            </w:pPr>
            <w:r>
              <w:rPr/>
              <w:t xml:space="preserve">rozwiązuje proste zadania tekstowe z treścią geometryczną za pomocą równań pierwszego stopnia z jedną niewiadomą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rozwiązuje proste zadania tekstowe z obliczeniami procentowymi za pomocą równań pierwszego stopnia z jedną niewiadomą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wzory, aby wyznaczyć wskazaną wielkość z wzorów geometrycznych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wzory, aby wyznaczyć wskazaną wielkość z wzorów fizycznych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rozwiązanie równania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równania, które po prostych przekształceniach wyrażeń algebraicznych sprowadzają się do równań pierwszego stopnia z jedną niewiadomą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za pomocą równań pierwszego stopnia z jedną niewiadomą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geometryczne za pomocą równań pierwszego stopnia z jedną niewiadomą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dotyczące obliczeń procentowych za pomocą równań pierwszego stopnia z jedną niewiadomą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liczbę rozwiązań prostego równania zawierającego potęg i pierwiastki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równania liniowe z jedną niewiadomą o podniesionym stopniu trudności</w:t>
            </w:r>
            <w:r>
              <w:rPr>
                <w:bCs/>
                <w:sz w:val="20"/>
                <w:szCs w:val="20"/>
              </w:rPr>
              <w:t>, także zawierających nawiasy wewnętrzne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równanie, które jest iloczynem czynników liniowych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o podniesionym stopniu trudności za pomocą równań pierwszego stopnia z jedną niewiadomą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geometryczne o podniesionym stopniu trudności za pomocą równań pierwszego stopnia z jedną niewiadomą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podniesionym stopniu trudności dotyczące obliczeń procentowych za pomocą równań pierwszego stopnia z jedną niewiadomą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rozwiązywaniu zadania tekstowego przekształca wzory, aby wyznaczyć zadaną wielkość we wzorach fizycznych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rozwiązań prostych równań liniowych z dwiema niewiadomymi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równanie zapisane w postaci iloczynu kilku czynników równych zeru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za pomocą równań pierwszego stopnia z jedną niewiadomą dotyczące dziesiątkowego zapisu liczb kilkucyfrowych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za pomocą równań pierwszego stopnia z jedną niewiadomą dotyczące stężenia roztworu </w:t>
            </w:r>
          </w:p>
        </w:tc>
      </w:tr>
    </w:tbl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VI. TRÓJKĄTY PROSTOKĄTNE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stosuje w prostych przypadkach </w:t>
            </w:r>
            <w:r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przekątnej kwadratu, mając dane długość boku kwadratu lub jego obwód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wysokość trójkąta równobocznego, mając daną długość jego boku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długość boku kwadratu, mając daną długość jego przekątnej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i obwód trójkąta równobocznego, mając dane długość boku lub wysokość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wyznacza długości pozostałych boków t</w:t>
            </w:r>
            <w:r>
              <w:rPr>
                <w:sz w:val="20"/>
                <w:szCs w:val="20"/>
              </w:rPr>
              <w:t>rójkąta o kątach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 xml:space="preserve"> lub 30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60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mając daną długość jednego z jego boków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własności trójkątów o kątach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position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 30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60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stosuje w złożonych przypadkach </w:t>
            </w:r>
            <w:r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wykorzystaniem twierdzenia Pitagorasa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stosuje twierdzenie Pitagorasa do rozwiązywania zadań dotyczących czworokątów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 długość boku trójkąta równobocznego o danym polu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długości odcinków i pola figur, dzieląc figury na części lub uzupełniając je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stosuje twierdzenie Pitagorasa do rozwiązywania zadań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podwyższonym stopniu trudności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dotyczących czworokątów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stosuje własności trójkątów o kątach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>, 45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>, 60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>, 90</w:t>
            </w:r>
            <w:r>
              <w:rPr>
                <w:rFonts w:eastAsia="Symbol" w:cs="Symbol" w:ascii="Symbol" w:hAnsi="Symbol"/>
                <w:sz w:val="20"/>
                <w:szCs w:val="20"/>
              </w:rPr>
              <w:t>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rozwiązywania zadań tekstowych o podwyższonym stopniu trudności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 z wykorzystaniem twierdzenia Pitagorasa w kontekście praktycznym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wyprowadza poznane wzory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rodzaj trójkąta na podstawie długości jego boków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zadania, wykorzystując własności wielokątów foremnych, np.: sześciokąta, ośmiokąta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na obliczanie długości przekątnych w sześcianie i prostopadłościanie</w:t>
            </w:r>
          </w:p>
        </w:tc>
      </w:tr>
    </w:tbl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DZIAŁ VII. UKŁAD WSPÓŁRZĘDNYCH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przerysowuje figury narysowane na kartce w kratkę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odcinki równoległe w różnych położeniach na kartce w kratkę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współrzędne punktów zaznaczonych w układzie</w:t>
            </w:r>
            <w:r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zaznacza punkty w </w:t>
            </w:r>
            <w:r>
              <w:rPr>
                <w:sz w:val="20"/>
                <w:szCs w:val="20"/>
              </w:rPr>
              <w:t>układzie</w:t>
            </w:r>
            <w:r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oblicza długość narysowanego odcinka, który biegnie po liniach kratek w układzie współrzędnych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 układzie współrzędnych odcinki równej długości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 układzie współrzędnych odcinki równoległe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wykonuje proste obliczenia dotyczące pól prostokątów, mających boki na liniach kratowych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podziału prostych wielokątów na mniejsze wielokąty o bokach na liniach kratowych w układzie</w:t>
            </w:r>
            <w:r>
              <w:rPr>
                <w:bCs/>
                <w:sz w:val="20"/>
                <w:szCs w:val="20"/>
              </w:rPr>
              <w:t xml:space="preserve"> współrzędnych</w:t>
            </w:r>
            <w:r>
              <w:rPr>
                <w:sz w:val="20"/>
                <w:szCs w:val="20"/>
              </w:rPr>
              <w:t>, aby obliczyć ich pole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odcinki prostopadłe w różnych położeniach na kartce w kratkę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3" w:hanging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wykonuje proste obliczenia dotyczące pól wielokątów, mając dane współrzędne ich wierzchołków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 układzie współrzędnych odcinki prostopadłe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długość odcinka, którego końce są danymi punktami kratowymi w układzie współrzędnych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danych punktów kratowych </w:t>
            </w:r>
            <w:r>
              <w:rPr>
                <w:i/>
                <w:iCs/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 xml:space="preserve">znajduje inne punkty kratowe należące do prostej </w:t>
            </w:r>
            <w:r>
              <w:rPr>
                <w:i/>
                <w:iCs/>
                <w:sz w:val="20"/>
                <w:szCs w:val="20"/>
              </w:rPr>
              <w:t>AB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33" w:hanging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na podstawie odległości między punktami ocenia, czy leżą one na jednej prostej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figury na kartce w kratkę zgodnie z instrukcją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 figury na kartce w kratkę, których wierzchołki są danymi punktami kratowymi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położenie brakującego wierzchołka zadanej figury na kartce w kratkę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wielokąty do większych wielokątów, aby obliczyć pole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znajduje w układzie współrzędnych wśród danych punktów kratowych figury o podanych własnościach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 złożonych przypadkach oblicza pola wielokątów, mając dane współrzędne ich wierzchołków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wierzchołki wielokąta podając ich współrzędne, aby wielokąt spełniał określone warunki w układzie współrzędnych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współrzędne drugiego końca odcinka, gdy dane są jeden koniec i środek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09"/>
        <w:gridCol w:w="8852"/>
      </w:tblGrid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rozpatruje wszystkie przypadki położenia czwartego wierzchołka równoległoboku, jeśli dane trzy wierzchołki są punktami kratowymi 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rozpatruje wszystkie przypadki położenia pozostałych wierzchołków kwadratu, jeśli dane wierzchołki jednego z boków są punktami kratowymi</w:t>
            </w:r>
          </w:p>
        </w:tc>
      </w:tr>
      <w:tr>
        <w:trPr/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położenie punktów kratowych równooddalonych od początku układu współrzędnych i określa zależność między ich współrzędnymi</w:t>
            </w:r>
          </w:p>
        </w:tc>
      </w:tr>
    </w:tbl>
    <w:p>
      <w:pPr>
        <w:pStyle w:val="Normal"/>
        <w:ind w:left="360" w:hanging="0"/>
        <w:jc w:val="both"/>
        <w:rPr>
          <w:sz w:val="20"/>
          <w:szCs w:val="20"/>
        </w:rPr>
      </w:pPr>
      <w:r>
        <w:rPr/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/>
      </w:r>
    </w:p>
    <w:p>
      <w:pPr>
        <w:pStyle w:val="Normal"/>
        <w:rPr/>
      </w:pPr>
      <w:r>
        <w:rPr/>
        <w:t>Oceniane są:</w:t>
      </w:r>
    </w:p>
    <w:p>
      <w:pPr>
        <w:pStyle w:val="ListParagraph"/>
        <w:numPr>
          <w:ilvl w:val="0"/>
          <w:numId w:val="1"/>
        </w:numPr>
        <w:rPr/>
      </w:pPr>
      <w:r>
        <w:rPr/>
        <w:t>prace klasowe</w:t>
      </w:r>
    </w:p>
    <w:p>
      <w:pPr>
        <w:pStyle w:val="ListParagraph"/>
        <w:numPr>
          <w:ilvl w:val="0"/>
          <w:numId w:val="1"/>
        </w:numPr>
        <w:rPr/>
      </w:pPr>
      <w:r>
        <w:rPr/>
        <w:t>kartkówki</w:t>
      </w:r>
    </w:p>
    <w:p>
      <w:pPr>
        <w:pStyle w:val="ListParagraph"/>
        <w:numPr>
          <w:ilvl w:val="0"/>
          <w:numId w:val="1"/>
        </w:numPr>
        <w:rPr/>
      </w:pPr>
      <w:r>
        <w:rPr/>
        <w:t>odpowiedzi ustne</w:t>
      </w:r>
    </w:p>
    <w:p>
      <w:pPr>
        <w:pStyle w:val="ListParagraph"/>
        <w:numPr>
          <w:ilvl w:val="0"/>
          <w:numId w:val="1"/>
        </w:numPr>
        <w:rPr/>
      </w:pPr>
      <w:r>
        <w:rPr/>
        <w:t>prace domowe</w:t>
      </w:r>
    </w:p>
    <w:p>
      <w:pPr>
        <w:pStyle w:val="ListParagraph"/>
        <w:numPr>
          <w:ilvl w:val="0"/>
          <w:numId w:val="1"/>
        </w:numPr>
        <w:rPr/>
      </w:pPr>
      <w:r>
        <w:rPr/>
        <w:t>zaangażowanie i aktywność na lekcji</w:t>
      </w:r>
    </w:p>
    <w:p>
      <w:pPr>
        <w:pStyle w:val="ListParagraph"/>
        <w:numPr>
          <w:ilvl w:val="0"/>
          <w:numId w:val="1"/>
        </w:numPr>
        <w:rPr/>
      </w:pPr>
      <w:r>
        <w:rPr/>
        <w:t>prace dodatkowe</w:t>
      </w:r>
    </w:p>
    <w:p>
      <w:pPr>
        <w:pStyle w:val="ListParagraph"/>
        <w:numPr>
          <w:ilvl w:val="0"/>
          <w:numId w:val="1"/>
        </w:numPr>
        <w:rPr/>
      </w:pPr>
      <w:r>
        <w:rPr/>
        <w:t>szczególne osiągnięcia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/>
      </w:r>
      <w:bookmarkStart w:id="1" w:name="_GoBack1"/>
      <w:bookmarkStart w:id="2" w:name="_GoBack1"/>
      <w:bookmarkEnd w:id="2"/>
    </w:p>
    <w:sectPr>
      <w:footerReference w:type="default" r:id="rId2"/>
      <w:type w:val="nextPage"/>
      <w:pgSz w:w="11906" w:h="16838"/>
      <w:pgMar w:left="1080" w:right="1080" w:gutter="0" w:header="0" w:top="1440" w:footer="227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Footer"/>
      <w:jc w:val="center"/>
      <w:rPr/>
    </w:pPr>
    <w:r>
      <w:rPr>
        <w:bCs/>
        <w:sz w:val="14"/>
      </w:rPr>
      <w:t>Copyright by Nowa Era Sp. z o.o.</w:t>
    </w:r>
  </w:p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965f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uiPriority w:val="99"/>
    <w:qFormat/>
    <w:rsid w:val="009965fe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9965fe"/>
    <w:rPr>
      <w:rFonts w:ascii="Times New Roman" w:hAnsi="Times New Roman"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52c2"/>
    <w:rPr>
      <w:i/>
      <w:iCs/>
    </w:rPr>
  </w:style>
  <w:style w:type="character" w:styleId="Hgkelc" w:customStyle="1">
    <w:name w:val="hgkelc"/>
    <w:basedOn w:val="DefaultParagraphFont"/>
    <w:qFormat/>
    <w:rsid w:val="002a4e74"/>
    <w:rPr/>
  </w:style>
  <w:style w:type="character" w:styleId="PodtytuZnak" w:customStyle="1">
    <w:name w:val="Podtytuł Znak"/>
    <w:basedOn w:val="DefaultParagraphFont"/>
    <w:link w:val="Subtitle"/>
    <w:uiPriority w:val="11"/>
    <w:qFormat/>
    <w:rsid w:val="00f317b0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Header"/>
    <w:uiPriority w:val="99"/>
    <w:semiHidden/>
    <w:qFormat/>
    <w:rsid w:val="00e04c5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06247"/>
    <w:rPr>
      <w:rFonts w:ascii="Tahoma" w:hAnsi="Tahoma" w:eastAsia="Times New Roman" w:cs="Tahoma"/>
      <w:sz w:val="16"/>
      <w:szCs w:val="16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a6ae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a6ae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a6aed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9965fe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TextBodyIndent">
    <w:name w:val="Body Text Indent"/>
    <w:basedOn w:val="Normal"/>
    <w:link w:val="TekstpodstawowywcityZnak"/>
    <w:uiPriority w:val="99"/>
    <w:rsid w:val="009965fe"/>
    <w:pPr>
      <w:ind w:firstLine="708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9965f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0d52c2"/>
    <w:pPr>
      <w:spacing w:beforeAutospacing="1" w:afterAutospacing="1"/>
    </w:pPr>
    <w:rPr/>
  </w:style>
  <w:style w:type="paragraph" w:styleId="Subtitle">
    <w:name w:val="Subtitle"/>
    <w:basedOn w:val="Normal"/>
    <w:next w:val="Normal"/>
    <w:link w:val="PodtytuZnak"/>
    <w:uiPriority w:val="11"/>
    <w:qFormat/>
    <w:rsid w:val="00f317b0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Header">
    <w:name w:val="Header"/>
    <w:basedOn w:val="Normal"/>
    <w:link w:val="NagwekZnak"/>
    <w:uiPriority w:val="99"/>
    <w:semiHidden/>
    <w:unhideWhenUsed/>
    <w:rsid w:val="00e04c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06247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a6ae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a6ae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44A5C-B8A3-43C7-9683-46A9CD7FE54B}">
  <ds:schemaRefs>
    <ds:schemaRef ds:uri="http://purl.org/dc/dcmitype/"/>
    <ds:schemaRef ds:uri="http://purl.org/dc/terms/"/>
    <ds:schemaRef ds:uri="6a58c713-624c-4cd1-a440-51c1ac95028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92AD1FF7-C066-40F6-B544-4B371FBD9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34EA7-9C4F-4F37-A29C-1F78E864F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8</Pages>
  <Words>2698</Words>
  <Characters>17762</Characters>
  <CharactersWithSpaces>19945</CharactersWithSpaces>
  <Paragraphs>501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2024-08-13T17:31:00Z</dcterms:created>
  <dc:creator>ACER-PC</dc:creator>
  <dc:description/>
  <dc:language>pl-PL</dc:language>
  <cp:lastModifiedBy/>
  <dcterms:modified xsi:type="dcterms:W3CDTF">2024-09-16T19:27:35Z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