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D746" w14:textId="77777777" w:rsidR="00C73203" w:rsidRPr="00FD1D69" w:rsidRDefault="00C73203" w:rsidP="00C73203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D1D69">
        <w:rPr>
          <w:rFonts w:eastAsia="Calibri"/>
          <w:sz w:val="40"/>
        </w:rPr>
        <w:t xml:space="preserve">Plan pracy oparty na Programie nauczania </w:t>
      </w:r>
      <w:r>
        <w:rPr>
          <w:rFonts w:eastAsia="Calibri"/>
          <w:sz w:val="40"/>
        </w:rPr>
        <w:t>edukacji dla bezpieczeństwa</w:t>
      </w:r>
      <w:r w:rsidRPr="00FD1D69">
        <w:rPr>
          <w:rFonts w:eastAsia="Calibri"/>
          <w:sz w:val="40"/>
        </w:rPr>
        <w:t xml:space="preserve"> w szkole podstawowej  - </w:t>
      </w:r>
      <w:r w:rsidRPr="00FD1D69">
        <w:rPr>
          <w:rFonts w:eastAsia="Calibri"/>
          <w:i/>
          <w:sz w:val="40"/>
        </w:rPr>
        <w:t>„</w:t>
      </w:r>
      <w:r>
        <w:rPr>
          <w:rFonts w:eastAsia="Calibri"/>
          <w:i/>
          <w:sz w:val="40"/>
        </w:rPr>
        <w:t>Żyję i działam bezpiecznie</w:t>
      </w:r>
      <w:r w:rsidRPr="00FD1D69">
        <w:rPr>
          <w:rFonts w:eastAsia="Calibri"/>
          <w:i/>
          <w:sz w:val="40"/>
        </w:rPr>
        <w:t xml:space="preserve">” </w:t>
      </w:r>
      <w:r w:rsidRPr="00FD1D69">
        <w:rPr>
          <w:rFonts w:eastAsia="Calibri"/>
          <w:sz w:val="40"/>
        </w:rPr>
        <w:t xml:space="preserve">autorstwa </w:t>
      </w:r>
      <w:r>
        <w:rPr>
          <w:rFonts w:eastAsia="Calibri"/>
          <w:bCs/>
          <w:sz w:val="40"/>
          <w:szCs w:val="28"/>
        </w:rPr>
        <w:t>Jarosława Słomy</w:t>
      </w:r>
    </w:p>
    <w:p w14:paraId="1EBB7F62" w14:textId="77777777" w:rsidR="00C73203" w:rsidRPr="00FD1D69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1A129C1C" w14:textId="77777777" w:rsidR="00C73203" w:rsidRPr="00FD1D69" w:rsidRDefault="00C73203" w:rsidP="00C73203">
      <w:pPr>
        <w:spacing w:line="256" w:lineRule="auto"/>
        <w:jc w:val="center"/>
        <w:rPr>
          <w:rFonts w:eastAsia="Calibri"/>
          <w:sz w:val="40"/>
        </w:rPr>
      </w:pPr>
      <w:r w:rsidRPr="00FD1D69">
        <w:rPr>
          <w:rFonts w:eastAsia="Calibri"/>
          <w:sz w:val="40"/>
        </w:rPr>
        <w:t xml:space="preserve">Do podręcznika </w:t>
      </w:r>
      <w:r>
        <w:rPr>
          <w:rFonts w:eastAsia="Calibri"/>
          <w:i/>
          <w:sz w:val="40"/>
        </w:rPr>
        <w:t>Żyję i działam bezpiecznie</w:t>
      </w:r>
      <w:r w:rsidRPr="00FD1D69">
        <w:rPr>
          <w:rFonts w:eastAsia="Calibri"/>
          <w:sz w:val="40"/>
        </w:rPr>
        <w:t xml:space="preserve"> . Podręcznik do </w:t>
      </w:r>
      <w:r>
        <w:rPr>
          <w:rFonts w:eastAsia="Calibri"/>
          <w:sz w:val="40"/>
        </w:rPr>
        <w:t>edukacji dla bezpieczeństwa</w:t>
      </w:r>
      <w:r w:rsidRPr="00FD1D69">
        <w:rPr>
          <w:rFonts w:eastAsia="Calibri"/>
          <w:sz w:val="40"/>
        </w:rPr>
        <w:t xml:space="preserve"> dla szkoły podstawowej, wyd. Nowa Era</w:t>
      </w:r>
    </w:p>
    <w:p w14:paraId="56FB98EA" w14:textId="77777777" w:rsidR="00C73203" w:rsidRPr="00FD1D69" w:rsidRDefault="00C73203" w:rsidP="00C73203">
      <w:pPr>
        <w:spacing w:line="256" w:lineRule="auto"/>
        <w:jc w:val="center"/>
        <w:rPr>
          <w:rFonts w:eastAsia="Calibri"/>
          <w:sz w:val="40"/>
        </w:rPr>
      </w:pPr>
      <w:r w:rsidRPr="00FD1D69">
        <w:rPr>
          <w:rFonts w:eastAsia="Calibri"/>
          <w:sz w:val="40"/>
        </w:rPr>
        <w:t>W Szkole Podstawowej w Konopnicy</w:t>
      </w:r>
    </w:p>
    <w:p w14:paraId="0D26326F" w14:textId="4B54EA1A" w:rsidR="00C73203" w:rsidRPr="00FD1D69" w:rsidRDefault="00C73203" w:rsidP="00C73203">
      <w:pPr>
        <w:spacing w:line="256" w:lineRule="auto"/>
        <w:jc w:val="center"/>
        <w:rPr>
          <w:rFonts w:eastAsia="Calibri"/>
          <w:sz w:val="40"/>
        </w:rPr>
      </w:pPr>
      <w:r>
        <w:rPr>
          <w:rFonts w:eastAsia="Calibri"/>
          <w:sz w:val="40"/>
        </w:rPr>
        <w:t>Na rok szkolny 2024/2025</w:t>
      </w:r>
      <w:r w:rsidRPr="00FD1D69">
        <w:rPr>
          <w:rFonts w:eastAsia="Calibri"/>
          <w:sz w:val="40"/>
        </w:rPr>
        <w:t>.</w:t>
      </w:r>
    </w:p>
    <w:p w14:paraId="0D69959C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  <w:r w:rsidRPr="00FD1D69">
        <w:rPr>
          <w:rFonts w:eastAsia="Calibri"/>
          <w:sz w:val="40"/>
        </w:rPr>
        <w:t>Prowadzący: mgr Agata Aleksandrowicz</w:t>
      </w:r>
    </w:p>
    <w:p w14:paraId="13A5CD20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5ABB0AC2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54988EEA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7BAF8A0F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18506699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5F7CCCE1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51CCB0A6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34A1B323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3A620F98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</w:p>
    <w:p w14:paraId="5EFD17CD" w14:textId="77777777" w:rsidR="00C73203" w:rsidRDefault="00C73203" w:rsidP="00C73203">
      <w:pPr>
        <w:spacing w:line="256" w:lineRule="auto"/>
        <w:jc w:val="center"/>
        <w:rPr>
          <w:rFonts w:eastAsia="Calibri"/>
          <w:sz w:val="40"/>
        </w:rPr>
      </w:pPr>
      <w:bookmarkStart w:id="0" w:name="_GoBack"/>
      <w:bookmarkEnd w:id="0"/>
    </w:p>
    <w:p w14:paraId="0B6CA75A" w14:textId="77777777" w:rsidR="00C73203" w:rsidRDefault="00C73203">
      <w:pPr>
        <w:rPr>
          <w:b/>
          <w:sz w:val="28"/>
          <w:szCs w:val="28"/>
        </w:rPr>
      </w:pPr>
    </w:p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lastRenderedPageBreak/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E8CA" w14:textId="77777777" w:rsidR="008D7CAD" w:rsidRDefault="008D7CAD">
      <w:r>
        <w:separator/>
      </w:r>
    </w:p>
  </w:endnote>
  <w:endnote w:type="continuationSeparator" w:id="0">
    <w:p w14:paraId="52BEE035" w14:textId="77777777" w:rsidR="008D7CAD" w:rsidRDefault="008D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20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339CA" w14:textId="77777777" w:rsidR="008D7CAD" w:rsidRDefault="008D7CAD">
      <w:r>
        <w:separator/>
      </w:r>
    </w:p>
  </w:footnote>
  <w:footnote w:type="continuationSeparator" w:id="0">
    <w:p w14:paraId="1372B784" w14:textId="77777777" w:rsidR="008D7CAD" w:rsidRDefault="008D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D7CAD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7320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Konto Microsoft</cp:lastModifiedBy>
  <cp:revision>2</cp:revision>
  <cp:lastPrinted>2009-08-05T10:01:00Z</cp:lastPrinted>
  <dcterms:created xsi:type="dcterms:W3CDTF">2024-09-02T12:26:00Z</dcterms:created>
  <dcterms:modified xsi:type="dcterms:W3CDTF">2024-09-02T12:26:00Z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