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6C" w:rsidRDefault="00446D3D">
      <w:pPr>
        <w:jc w:val="center"/>
        <w:rPr>
          <w:rFonts w:ascii="Times New Roman" w:hAnsi="Times New Roman"/>
          <w:b/>
          <w:sz w:val="32"/>
          <w:szCs w:val="32"/>
          <w:highlight w:val="magenta"/>
        </w:rPr>
      </w:pPr>
      <w:r>
        <w:rPr>
          <w:rFonts w:ascii="Times New Roman" w:hAnsi="Times New Roman"/>
          <w:b/>
          <w:sz w:val="32"/>
          <w:szCs w:val="32"/>
          <w:highlight w:val="magenta"/>
        </w:rPr>
        <w:t>WYNIKI BADANIA OCZEKIWAŃ NAUCZYCIELI</w:t>
      </w:r>
    </w:p>
    <w:p w:rsidR="003A066C" w:rsidRDefault="00446D3D">
      <w:pPr>
        <w:jc w:val="center"/>
        <w:rPr>
          <w:rFonts w:ascii="Times New Roman" w:hAnsi="Times New Roman"/>
          <w:b/>
          <w:sz w:val="32"/>
          <w:szCs w:val="32"/>
          <w:highlight w:val="magenta"/>
        </w:rPr>
      </w:pPr>
      <w:r>
        <w:rPr>
          <w:rFonts w:ascii="Times New Roman" w:hAnsi="Times New Roman"/>
          <w:b/>
          <w:sz w:val="32"/>
          <w:szCs w:val="32"/>
          <w:highlight w:val="magenta"/>
        </w:rPr>
        <w:t>OD WEWNĄTRSZKOLNEGO SYSTEMU DORADZTWA ZAWODOWEGO</w:t>
      </w:r>
    </w:p>
    <w:p w:rsidR="003A066C" w:rsidRDefault="00446D3D">
      <w:pPr>
        <w:jc w:val="center"/>
        <w:rPr>
          <w:rFonts w:ascii="Times New Roman" w:hAnsi="Times New Roman"/>
          <w:b/>
          <w:sz w:val="32"/>
          <w:szCs w:val="32"/>
          <w:highlight w:val="magenta"/>
        </w:rPr>
      </w:pPr>
      <w:r>
        <w:rPr>
          <w:rFonts w:ascii="Times New Roman" w:hAnsi="Times New Roman"/>
          <w:b/>
          <w:sz w:val="32"/>
          <w:szCs w:val="32"/>
          <w:highlight w:val="magenta"/>
        </w:rPr>
        <w:t>w Zespole Szkół w Gębicach</w:t>
      </w:r>
    </w:p>
    <w:p w:rsidR="003A066C" w:rsidRDefault="00446D3D">
      <w:pPr>
        <w:jc w:val="center"/>
        <w:rPr>
          <w:rFonts w:ascii="Times New Roman" w:hAnsi="Times New Roman"/>
          <w:b/>
          <w:sz w:val="32"/>
          <w:szCs w:val="32"/>
          <w:highlight w:val="magenta"/>
        </w:rPr>
      </w:pPr>
      <w:r>
        <w:rPr>
          <w:rFonts w:ascii="Times New Roman" w:hAnsi="Times New Roman"/>
          <w:b/>
          <w:sz w:val="32"/>
          <w:szCs w:val="32"/>
          <w:highlight w:val="magenta"/>
        </w:rPr>
        <w:t>Publicznym Gimnazjum im. Leśników Polskich</w:t>
      </w:r>
    </w:p>
    <w:p w:rsidR="003A066C" w:rsidRDefault="00446D3D">
      <w:pPr>
        <w:jc w:val="center"/>
        <w:rPr>
          <w:rFonts w:ascii="Times New Roman" w:hAnsi="Times New Roman"/>
          <w:b/>
          <w:sz w:val="32"/>
          <w:szCs w:val="32"/>
          <w:highlight w:val="magenta"/>
        </w:rPr>
      </w:pPr>
      <w:r>
        <w:rPr>
          <w:rFonts w:ascii="Times New Roman" w:hAnsi="Times New Roman"/>
          <w:b/>
          <w:sz w:val="32"/>
          <w:szCs w:val="32"/>
          <w:highlight w:val="magenta"/>
        </w:rPr>
        <w:t>w roku szkolnym 2015/2016</w:t>
      </w:r>
    </w:p>
    <w:p w:rsidR="003A066C" w:rsidRDefault="00446D3D">
      <w:pPr>
        <w:jc w:val="center"/>
        <w:rPr>
          <w:rFonts w:ascii="Times New Roman" w:hAnsi="Times New Roman"/>
          <w:b/>
          <w:sz w:val="32"/>
          <w:szCs w:val="32"/>
          <w:highlight w:val="magenta"/>
        </w:rPr>
      </w:pPr>
      <w:r>
        <w:rPr>
          <w:rFonts w:ascii="Times New Roman" w:hAnsi="Times New Roman"/>
          <w:b/>
          <w:sz w:val="32"/>
          <w:szCs w:val="32"/>
          <w:highlight w:val="magenta"/>
        </w:rPr>
        <w:t>( wraz z wykresami)</w:t>
      </w:r>
    </w:p>
    <w:p w:rsidR="003A066C" w:rsidRDefault="00446D3D">
      <w:pPr>
        <w:jc w:val="center"/>
        <w:rPr>
          <w:rFonts w:ascii="Times New Roman" w:hAnsi="Times New Roman"/>
          <w:b/>
          <w:color w:val="FFFFFF"/>
          <w:sz w:val="32"/>
          <w:szCs w:val="32"/>
          <w:highlight w:val="magenta"/>
        </w:rPr>
      </w:pPr>
      <w:r>
        <w:rPr>
          <w:rFonts w:ascii="Times New Roman" w:hAnsi="Times New Roman"/>
          <w:b/>
          <w:color w:val="FFFFFF"/>
          <w:sz w:val="32"/>
          <w:szCs w:val="32"/>
          <w:highlight w:val="magenta"/>
        </w:rPr>
        <w:t>W badaniu wzięło udział 16 Nauczycieli.</w:t>
      </w:r>
    </w:p>
    <w:p w:rsidR="003A066C" w:rsidRDefault="00446D3D">
      <w:pPr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Proszę zaznaczyć krzyżykiem, czego oczekują Państwo od Wewnątrzszkolnego Systemu Doradztwa Zawodowego </w:t>
      </w:r>
    </w:p>
    <w:p w:rsidR="003A066C" w:rsidRDefault="00446D3D">
      <w:pPr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w Zespole Szkół w Gębicach Publicznym Gimnazjum im. Leśników Polskich: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49"/>
        <w:gridCol w:w="11333"/>
      </w:tblGrid>
      <w:tr w:rsidR="003A066C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spacing w:after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III</w:t>
            </w: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lang w:eastAsia="zh-CN" w:bidi="hi-IN"/>
              </w:rPr>
            </w:pPr>
            <w:r>
              <w:rPr>
                <w:rFonts w:ascii="Times New Roman" w:hAnsi="Times New Roman"/>
                <w:lang w:eastAsia="zh-CN" w:bidi="hi-IN"/>
              </w:rPr>
              <w:t>wskazanie źródeł informacji – informatory, publikacje, adresy internetowe,</w:t>
            </w:r>
          </w:p>
        </w:tc>
      </w:tr>
      <w:tr w:rsidR="003A066C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spacing w:after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I</w:t>
            </w: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lang w:eastAsia="zh-CN" w:bidi="hi-IN"/>
              </w:rPr>
            </w:pPr>
            <w:r>
              <w:rPr>
                <w:rFonts w:ascii="Times New Roman" w:hAnsi="Times New Roman"/>
                <w:lang w:eastAsia="zh-CN" w:bidi="hi-IN"/>
              </w:rPr>
              <w:t>włączenie Nauczycieli w Wewnątrzszkolny System Doradztwa Zawodowego,</w:t>
            </w:r>
          </w:p>
        </w:tc>
      </w:tr>
      <w:tr w:rsidR="003A066C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spacing w:after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III</w:t>
            </w: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lang w:eastAsia="zh-CN" w:bidi="hi-IN"/>
              </w:rPr>
            </w:pPr>
            <w:r>
              <w:rPr>
                <w:rFonts w:ascii="Times New Roman" w:hAnsi="Times New Roman"/>
                <w:lang w:eastAsia="zh-CN" w:bidi="hi-IN"/>
              </w:rPr>
              <w:t xml:space="preserve">cykliczne spotkania uczniów z psychologami i doradcami zawodowymi o charakterze </w:t>
            </w:r>
            <w:proofErr w:type="spellStart"/>
            <w:r>
              <w:rPr>
                <w:rFonts w:ascii="Times New Roman" w:hAnsi="Times New Roman"/>
                <w:lang w:eastAsia="zh-CN" w:bidi="hi-IN"/>
              </w:rPr>
              <w:t>psychoedukacyjnym</w:t>
            </w:r>
            <w:proofErr w:type="spellEnd"/>
            <w:r>
              <w:rPr>
                <w:rFonts w:ascii="Times New Roman" w:hAnsi="Times New Roman"/>
                <w:lang w:eastAsia="zh-CN" w:bidi="hi-IN"/>
              </w:rPr>
              <w:t>, organizowane przy okazji wywiadówek,</w:t>
            </w:r>
          </w:p>
        </w:tc>
      </w:tr>
      <w:tr w:rsidR="003A066C">
        <w:trPr>
          <w:trHeight w:val="468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spacing w:after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I</w:t>
            </w: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lang w:eastAsia="zh-CN" w:bidi="hi-IN"/>
              </w:rPr>
            </w:pPr>
            <w:r>
              <w:rPr>
                <w:rFonts w:ascii="Times New Roman" w:hAnsi="Times New Roman"/>
                <w:lang w:eastAsia="zh-CN" w:bidi="hi-IN"/>
              </w:rPr>
              <w:t xml:space="preserve">uświadomienie nauczycielom ich niezwykłej roli w procesie przygotowania dziecka do wyborów </w:t>
            </w:r>
            <w:proofErr w:type="spellStart"/>
            <w:r>
              <w:rPr>
                <w:rFonts w:ascii="Times New Roman" w:hAnsi="Times New Roman"/>
                <w:lang w:eastAsia="zh-CN" w:bidi="hi-IN"/>
              </w:rPr>
              <w:t>edukacyjno</w:t>
            </w:r>
            <w:proofErr w:type="spellEnd"/>
            <w:r>
              <w:rPr>
                <w:rFonts w:ascii="Times New Roman" w:hAnsi="Times New Roman"/>
                <w:lang w:eastAsia="zh-CN" w:bidi="hi-IN"/>
              </w:rPr>
              <w:t xml:space="preserve"> – zawodowych,</w:t>
            </w:r>
          </w:p>
        </w:tc>
      </w:tr>
      <w:tr w:rsidR="003A066C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spacing w:after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I</w:t>
            </w: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lang w:eastAsia="zh-CN" w:bidi="hi-IN"/>
              </w:rPr>
            </w:pPr>
            <w:r>
              <w:rPr>
                <w:rFonts w:ascii="Times New Roman" w:hAnsi="Times New Roman"/>
                <w:lang w:eastAsia="zh-CN" w:bidi="hi-IN"/>
              </w:rPr>
              <w:t>poznanie instytucji wspierających młodzież w wyborze zawodu,</w:t>
            </w:r>
          </w:p>
        </w:tc>
      </w:tr>
      <w:tr w:rsidR="003A066C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spacing w:after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II</w:t>
            </w: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lang w:eastAsia="zh-CN" w:bidi="hi-IN"/>
              </w:rPr>
            </w:pPr>
            <w:r>
              <w:rPr>
                <w:rFonts w:ascii="Times New Roman" w:hAnsi="Times New Roman"/>
                <w:lang w:eastAsia="zh-CN" w:bidi="hi-IN"/>
              </w:rPr>
              <w:t xml:space="preserve">współpraca z pedagogiem szkolnym, psychologiem szkolnym, doradcą zawodowym  z Poradni </w:t>
            </w:r>
            <w:proofErr w:type="spellStart"/>
            <w:r>
              <w:rPr>
                <w:rFonts w:ascii="Times New Roman" w:hAnsi="Times New Roman"/>
                <w:lang w:eastAsia="zh-CN" w:bidi="hi-IN"/>
              </w:rPr>
              <w:t>Pedagogiczno</w:t>
            </w:r>
            <w:proofErr w:type="spellEnd"/>
            <w:r>
              <w:rPr>
                <w:rFonts w:ascii="Times New Roman" w:hAnsi="Times New Roman"/>
                <w:lang w:eastAsia="zh-CN" w:bidi="hi-IN"/>
              </w:rPr>
              <w:t xml:space="preserve"> – Psychologicznej w Czarnkowie oraz z przedstawicielem Powiatowego Urzędu Pracy w zakresie doradztwa Zawodowego w celu świadczenia doradztwa zawodowego w Zespole Szkół w Gębicach Publicznym Gimnazjum im. Leśników Polskich na najwyższym poziomie,</w:t>
            </w:r>
          </w:p>
        </w:tc>
      </w:tr>
      <w:tr w:rsidR="003A066C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spacing w:after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II</w:t>
            </w: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lang w:eastAsia="zh-CN" w:bidi="hi-IN"/>
              </w:rPr>
            </w:pPr>
            <w:r>
              <w:rPr>
                <w:rFonts w:ascii="Times New Roman" w:hAnsi="Times New Roman"/>
                <w:lang w:eastAsia="zh-CN" w:bidi="hi-IN"/>
              </w:rPr>
              <w:t>możliwość indywidualnych konsultacji z psychologiem szkolnym i doradcami zawodowymi w Specjalistycznej Poradni Zawodowej,</w:t>
            </w:r>
          </w:p>
        </w:tc>
      </w:tr>
      <w:tr w:rsidR="003A066C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spacing w:after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IIII</w:t>
            </w: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Pr="00B62102" w:rsidRDefault="00446D3D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highlight w:val="yellow"/>
                <w:lang w:eastAsia="zh-CN" w:bidi="hi-IN"/>
              </w:rPr>
            </w:pPr>
            <w:r w:rsidRPr="00B62102">
              <w:rPr>
                <w:rFonts w:ascii="Times New Roman" w:hAnsi="Times New Roman"/>
                <w:highlight w:val="yellow"/>
                <w:lang w:eastAsia="zh-CN" w:bidi="hi-IN"/>
              </w:rPr>
              <w:t>informacje na stronie internetowej szkoły na temat działań podejmowanych w ramach Wewnątrzszkolnego Systemu Doradztwa Zawodowego,</w:t>
            </w:r>
          </w:p>
        </w:tc>
      </w:tr>
      <w:tr w:rsidR="003A066C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spacing w:after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IIIIII</w:t>
            </w: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Pr="00B62102" w:rsidRDefault="00446D3D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highlight w:val="yellow"/>
                <w:lang w:eastAsia="zh-CN" w:bidi="hi-IN"/>
              </w:rPr>
            </w:pPr>
            <w:r w:rsidRPr="00B62102">
              <w:rPr>
                <w:rFonts w:ascii="Times New Roman" w:hAnsi="Times New Roman"/>
                <w:highlight w:val="yellow"/>
                <w:lang w:eastAsia="zh-CN" w:bidi="hi-IN"/>
              </w:rPr>
              <w:t>zapoznanie z lokalnymi możliwościami kształcenia,</w:t>
            </w:r>
          </w:p>
        </w:tc>
      </w:tr>
      <w:tr w:rsidR="003A066C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spacing w:after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IIIIIIIII</w:t>
            </w: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Pr="00B62102" w:rsidRDefault="00446D3D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highlight w:val="yellow"/>
                <w:lang w:eastAsia="zh-CN" w:bidi="hi-IN"/>
              </w:rPr>
            </w:pPr>
            <w:r w:rsidRPr="00B62102">
              <w:rPr>
                <w:rFonts w:ascii="Times New Roman" w:hAnsi="Times New Roman"/>
                <w:highlight w:val="yellow"/>
                <w:lang w:eastAsia="zh-CN" w:bidi="hi-IN"/>
              </w:rPr>
              <w:t>zapoznanie z lokalnym rynkiem pracy,</w:t>
            </w:r>
          </w:p>
          <w:p w:rsidR="003A066C" w:rsidRPr="00B62102" w:rsidRDefault="003A066C">
            <w:pPr>
              <w:spacing w:after="0"/>
              <w:rPr>
                <w:rFonts w:ascii="Times New Roman" w:hAnsi="Times New Roman" w:cs="Calibri"/>
                <w:highlight w:val="yellow"/>
              </w:rPr>
            </w:pPr>
          </w:p>
        </w:tc>
      </w:tr>
      <w:tr w:rsidR="003A066C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spacing w:after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III</w:t>
            </w: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lang w:eastAsia="zh-CN" w:bidi="hi-IN"/>
              </w:rPr>
            </w:pPr>
            <w:r>
              <w:rPr>
                <w:rFonts w:ascii="Times New Roman" w:hAnsi="Times New Roman"/>
                <w:lang w:eastAsia="zh-CN" w:bidi="hi-IN"/>
              </w:rPr>
              <w:t>pomoc w określeniu predyspozycji zawodowych uczniów (samopoznanie i samoocena),wyzwalanie motywacji do określenia i zaplanowania przyszłej drogi życiowej,</w:t>
            </w:r>
          </w:p>
          <w:p w:rsidR="003A066C" w:rsidRDefault="003A066C">
            <w:pPr>
              <w:widowControl w:val="0"/>
              <w:spacing w:after="0"/>
              <w:jc w:val="both"/>
              <w:rPr>
                <w:rFonts w:ascii="Times New Roman" w:hAnsi="Times New Roman" w:cs="Calibri"/>
              </w:rPr>
            </w:pPr>
          </w:p>
        </w:tc>
      </w:tr>
      <w:tr w:rsidR="003A066C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spacing w:after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IIIIII</w:t>
            </w: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Pr="00B62102" w:rsidRDefault="00446D3D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highlight w:val="yellow"/>
                <w:lang w:eastAsia="zh-CN" w:bidi="hi-IN"/>
              </w:rPr>
            </w:pPr>
            <w:r w:rsidRPr="00B62102">
              <w:rPr>
                <w:rFonts w:ascii="Times New Roman" w:hAnsi="Times New Roman"/>
                <w:highlight w:val="yellow"/>
                <w:lang w:eastAsia="zh-CN" w:bidi="hi-IN"/>
              </w:rPr>
              <w:t>wskazywanie uczniom kierunków kształcenia,</w:t>
            </w:r>
          </w:p>
        </w:tc>
      </w:tr>
      <w:tr w:rsidR="003A066C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spacing w:after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IIIIII</w:t>
            </w: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Pr="00B62102" w:rsidRDefault="00446D3D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highlight w:val="yellow"/>
                <w:lang w:eastAsia="zh-CN" w:bidi="hi-IN"/>
              </w:rPr>
            </w:pPr>
            <w:r w:rsidRPr="00B62102">
              <w:rPr>
                <w:rFonts w:ascii="Times New Roman" w:hAnsi="Times New Roman"/>
                <w:highlight w:val="yellow"/>
                <w:lang w:eastAsia="zh-CN" w:bidi="hi-IN"/>
              </w:rPr>
              <w:t>informowanie uczniów o zawodach oraz krajowym i światowym rynku pracy,</w:t>
            </w:r>
          </w:p>
        </w:tc>
      </w:tr>
      <w:tr w:rsidR="003A066C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spacing w:after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III</w:t>
            </w: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lang w:eastAsia="zh-CN" w:bidi="hi-IN"/>
              </w:rPr>
            </w:pPr>
            <w:r>
              <w:rPr>
                <w:rFonts w:ascii="Times New Roman" w:hAnsi="Times New Roman"/>
                <w:lang w:eastAsia="zh-CN" w:bidi="hi-IN"/>
              </w:rPr>
              <w:t xml:space="preserve">rozwijanie u uczniów umiejętności planowania kariery </w:t>
            </w:r>
            <w:proofErr w:type="spellStart"/>
            <w:r>
              <w:rPr>
                <w:rFonts w:ascii="Times New Roman" w:hAnsi="Times New Roman"/>
                <w:lang w:eastAsia="zh-CN" w:bidi="hi-IN"/>
              </w:rPr>
              <w:t>edukacyjno</w:t>
            </w:r>
            <w:proofErr w:type="spellEnd"/>
            <w:r>
              <w:rPr>
                <w:rFonts w:ascii="Times New Roman" w:hAnsi="Times New Roman"/>
                <w:lang w:eastAsia="zh-CN" w:bidi="hi-IN"/>
              </w:rPr>
              <w:t xml:space="preserve"> – zawodowej, </w:t>
            </w:r>
          </w:p>
          <w:p w:rsidR="003A066C" w:rsidRDefault="00446D3D">
            <w:pPr>
              <w:widowControl w:val="0"/>
              <w:spacing w:after="0"/>
              <w:rPr>
                <w:rFonts w:ascii="Times New Roman" w:hAnsi="Times New Roman"/>
                <w:lang w:eastAsia="zh-CN" w:bidi="hi-IN"/>
              </w:rPr>
            </w:pPr>
            <w:r>
              <w:rPr>
                <w:rFonts w:ascii="Times New Roman" w:hAnsi="Times New Roman"/>
                <w:lang w:eastAsia="zh-CN" w:bidi="hi-IN"/>
              </w:rPr>
              <w:t xml:space="preserve">              (IPD - Indywidualny Plan Działania),</w:t>
            </w:r>
          </w:p>
          <w:p w:rsidR="003A066C" w:rsidRDefault="003A066C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066C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spacing w:after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IIIIII</w:t>
            </w: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Pr="00B62102" w:rsidRDefault="00446D3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highlight w:val="yellow"/>
                <w:lang w:eastAsia="zh-CN" w:bidi="hi-IN"/>
              </w:rPr>
            </w:pPr>
            <w:r w:rsidRPr="00B62102">
              <w:rPr>
                <w:rFonts w:ascii="Times New Roman" w:hAnsi="Times New Roman"/>
                <w:highlight w:val="yellow"/>
                <w:lang w:eastAsia="zh-CN" w:bidi="hi-IN"/>
              </w:rPr>
              <w:t>wskazywanie na rolę planowania nie jako jednorazowej decyzji, ale procesu występującego w okresie całego życia,</w:t>
            </w:r>
          </w:p>
          <w:p w:rsidR="003A066C" w:rsidRDefault="003A066C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066C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spacing w:after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III</w:t>
            </w: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lang w:eastAsia="zh-CN" w:bidi="hi-IN"/>
              </w:rPr>
            </w:pPr>
            <w:r>
              <w:rPr>
                <w:rFonts w:ascii="Times New Roman" w:hAnsi="Times New Roman"/>
                <w:lang w:eastAsia="zh-CN" w:bidi="hi-IN"/>
              </w:rPr>
              <w:t>kształtowanie u uczniów potrzeby konfrontowania oceny swego stanu zdrowia z wymaganiami wybieranego zawodu,</w:t>
            </w:r>
          </w:p>
          <w:p w:rsidR="003A066C" w:rsidRDefault="003A066C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066C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spacing w:after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IIIIIIII</w:t>
            </w: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Pr="00B62102" w:rsidRDefault="00446D3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highlight w:val="yellow"/>
                <w:lang w:eastAsia="zh-CN" w:bidi="hi-IN"/>
              </w:rPr>
            </w:pPr>
            <w:r w:rsidRPr="00B62102">
              <w:rPr>
                <w:rFonts w:ascii="Times New Roman" w:hAnsi="Times New Roman"/>
                <w:highlight w:val="yellow"/>
                <w:lang w:eastAsia="zh-CN" w:bidi="hi-IN"/>
              </w:rPr>
              <w:t>kształtowanie u uczniów postawy przedsiębiorczości i aktywności wobec pracy,</w:t>
            </w:r>
          </w:p>
          <w:p w:rsidR="003A066C" w:rsidRDefault="003A066C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066C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3A066C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66C" w:rsidRDefault="00446D3D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  <w:b/>
              </w:rPr>
              <w:t xml:space="preserve">inne oczekiwania- </w:t>
            </w:r>
            <w:r>
              <w:rPr>
                <w:rFonts w:ascii="Times New Roman" w:hAnsi="Times New Roman" w:cs="Calibri"/>
                <w:b/>
                <w:u w:val="single"/>
              </w:rPr>
              <w:t>proszę podać</w:t>
            </w:r>
            <w:r>
              <w:rPr>
                <w:rFonts w:ascii="Times New Roman" w:hAnsi="Times New Roman" w:cs="Calibri"/>
              </w:rPr>
              <w:t>: (np. scenariusze zajęć z doradztwa zawodowego, prowadzenie lekcji wychowawczych przez doradcę zawodowego, wycieczki z uczniami do zakładów pracy, cykliczne zapraszanie na lekcje rodziców uczniów, którzy będą opowiadali o zawodach przez nich wykonywanych …)</w:t>
            </w:r>
          </w:p>
          <w:p w:rsidR="003A066C" w:rsidRDefault="00446D3D">
            <w:pPr>
              <w:widowControl w:val="0"/>
              <w:spacing w:after="0"/>
              <w:ind w:left="720"/>
              <w:contextualSpacing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A066C" w:rsidRPr="00B62102" w:rsidRDefault="00446D3D">
      <w:pPr>
        <w:rPr>
          <w:rFonts w:ascii="Times New Roman" w:hAnsi="Times New Roman" w:cs="Calibri"/>
          <w:u w:val="single"/>
        </w:rPr>
      </w:pPr>
      <w:r>
        <w:rPr>
          <w:rFonts w:ascii="Times New Roman" w:hAnsi="Times New Roman" w:cs="Calibri"/>
        </w:rPr>
        <w:t xml:space="preserve">                                                                  </w:t>
      </w:r>
    </w:p>
    <w:p w:rsidR="00B62102" w:rsidRDefault="00B6210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06"/>
      </w:tblGrid>
      <w:tr w:rsidR="00B62102" w:rsidTr="00B62102">
        <w:tc>
          <w:tcPr>
            <w:tcW w:w="11706" w:type="dxa"/>
          </w:tcPr>
          <w:p w:rsidR="00B62102" w:rsidRPr="00B62102" w:rsidRDefault="00B62102" w:rsidP="00B62102">
            <w:pPr>
              <w:jc w:val="center"/>
              <w:rPr>
                <w:rFonts w:eastAsia="SimSun" w:cs="Calibri"/>
                <w:kern w:val="1"/>
                <w:sz w:val="32"/>
                <w:szCs w:val="32"/>
                <w:highlight w:val="green"/>
              </w:rPr>
            </w:pPr>
            <w:r w:rsidRPr="00B62102">
              <w:rPr>
                <w:rFonts w:eastAsia="SimSun" w:cs="Calibri"/>
                <w:kern w:val="1"/>
                <w:sz w:val="32"/>
                <w:szCs w:val="32"/>
                <w:highlight w:val="green"/>
              </w:rPr>
              <w:t>INNE OCZEKIWANIA NAUCZYCIELI</w:t>
            </w:r>
          </w:p>
          <w:p w:rsidR="00B62102" w:rsidRPr="00B62102" w:rsidRDefault="00B62102" w:rsidP="00B62102">
            <w:pPr>
              <w:jc w:val="center"/>
              <w:rPr>
                <w:rFonts w:eastAsia="SimSun" w:cs="Calibri"/>
                <w:kern w:val="1"/>
                <w:sz w:val="32"/>
                <w:szCs w:val="32"/>
              </w:rPr>
            </w:pPr>
            <w:r w:rsidRPr="00B62102">
              <w:rPr>
                <w:rFonts w:eastAsia="SimSun" w:cs="Calibri"/>
                <w:kern w:val="1"/>
                <w:sz w:val="32"/>
                <w:szCs w:val="32"/>
                <w:highlight w:val="green"/>
              </w:rPr>
              <w:t>OD WSDZ:</w:t>
            </w:r>
          </w:p>
          <w:p w:rsidR="00B62102" w:rsidRPr="00B62102" w:rsidRDefault="00B62102" w:rsidP="00B62102">
            <w:pPr>
              <w:numPr>
                <w:ilvl w:val="0"/>
                <w:numId w:val="3"/>
              </w:numPr>
              <w:rPr>
                <w:rFonts w:eastAsia="SimSun" w:cs="Calibri"/>
                <w:kern w:val="1"/>
              </w:rPr>
            </w:pPr>
            <w:r w:rsidRPr="00B62102">
              <w:rPr>
                <w:rFonts w:eastAsia="SimSun" w:cs="Calibri"/>
                <w:kern w:val="1"/>
              </w:rPr>
              <w:t>Wycieczki do zakładów pracy,</w:t>
            </w:r>
          </w:p>
          <w:p w:rsidR="00B62102" w:rsidRPr="00B62102" w:rsidRDefault="00B62102" w:rsidP="00B62102">
            <w:pPr>
              <w:numPr>
                <w:ilvl w:val="0"/>
                <w:numId w:val="3"/>
              </w:numPr>
              <w:rPr>
                <w:rFonts w:eastAsia="SimSun" w:cs="Calibri"/>
                <w:kern w:val="1"/>
              </w:rPr>
            </w:pPr>
            <w:r w:rsidRPr="00B62102">
              <w:rPr>
                <w:rFonts w:eastAsia="SimSun" w:cs="Calibri"/>
                <w:kern w:val="1"/>
              </w:rPr>
              <w:t>Zapraszanie na lekcje rodziców uczniów,</w:t>
            </w:r>
          </w:p>
          <w:p w:rsidR="00B62102" w:rsidRPr="00B62102" w:rsidRDefault="00B62102" w:rsidP="00B62102">
            <w:pPr>
              <w:numPr>
                <w:ilvl w:val="0"/>
                <w:numId w:val="3"/>
              </w:numPr>
              <w:rPr>
                <w:rFonts w:eastAsia="SimSun" w:cs="Calibri"/>
                <w:kern w:val="1"/>
              </w:rPr>
            </w:pPr>
            <w:r w:rsidRPr="00B62102">
              <w:rPr>
                <w:rFonts w:eastAsia="SimSun" w:cs="Calibri"/>
                <w:kern w:val="1"/>
              </w:rPr>
              <w:t>Scenariusze zajęć,</w:t>
            </w:r>
          </w:p>
          <w:p w:rsidR="00B62102" w:rsidRPr="00B62102" w:rsidRDefault="00B62102" w:rsidP="00B62102">
            <w:pPr>
              <w:numPr>
                <w:ilvl w:val="0"/>
                <w:numId w:val="3"/>
              </w:numPr>
              <w:rPr>
                <w:rFonts w:eastAsia="SimSun" w:cs="Calibri"/>
                <w:kern w:val="1"/>
              </w:rPr>
            </w:pPr>
            <w:r w:rsidRPr="00B62102">
              <w:rPr>
                <w:rFonts w:eastAsia="SimSun" w:cs="Calibri"/>
                <w:kern w:val="1"/>
              </w:rPr>
              <w:t>Prowadzenie zajęć przez doradcę zawodowego.</w:t>
            </w:r>
          </w:p>
          <w:p w:rsidR="00B62102" w:rsidRDefault="00B62102"/>
        </w:tc>
      </w:tr>
    </w:tbl>
    <w:p w:rsidR="003A066C" w:rsidRDefault="00446D3D">
      <w:r>
        <w:rPr>
          <w:noProof/>
          <w:lang w:eastAsia="pl-PL"/>
        </w:rPr>
        <w:drawing>
          <wp:inline distT="0" distB="0" distL="0" distR="0">
            <wp:extent cx="5759450" cy="3239770"/>
            <wp:effectExtent l="0" t="0" r="0" b="0"/>
            <wp:docPr id="1" name="Obiekt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066C" w:rsidRDefault="003A066C"/>
    <w:p w:rsidR="003A066C" w:rsidRDefault="00B62102">
      <w:r>
        <w:t xml:space="preserve">zestawienie sporządziła:  </w:t>
      </w:r>
      <w:bookmarkStart w:id="0" w:name="_GoBack"/>
      <w:bookmarkEnd w:id="0"/>
      <w:r>
        <w:t>Ewelina Wesołowska</w:t>
      </w:r>
    </w:p>
    <w:sectPr w:rsidR="003A066C">
      <w:pgSz w:w="11906" w:h="16838"/>
      <w:pgMar w:top="170" w:right="170" w:bottom="170" w:left="17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44B4"/>
    <w:multiLevelType w:val="multilevel"/>
    <w:tmpl w:val="EB06E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7646E"/>
    <w:multiLevelType w:val="hybridMultilevel"/>
    <w:tmpl w:val="577A3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B4776"/>
    <w:multiLevelType w:val="multilevel"/>
    <w:tmpl w:val="86DAC1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6C"/>
    <w:rsid w:val="003A066C"/>
    <w:rsid w:val="00446D3D"/>
    <w:rsid w:val="00B6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3DE"/>
    <w:pPr>
      <w:suppressAutoHyphens/>
      <w:spacing w:after="200"/>
    </w:pPr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6D14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1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3DE"/>
    <w:pPr>
      <w:suppressAutoHyphens/>
      <w:spacing w:after="200"/>
    </w:pPr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6D14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1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Kolumna 1</c:v>
                </c:pt>
              </c:strCache>
            </c:strRef>
          </c:tx>
          <c:spPr>
            <a:solidFill>
              <a:srgbClr val="314004"/>
            </a:solidFill>
            <a:ln>
              <a:noFill/>
            </a:ln>
          </c:spPr>
          <c:invertIfNegative val="1"/>
          <c:cat>
            <c:strRef>
              <c:f>categories</c:f>
              <c:strCache>
                <c:ptCount val="7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12</c:v>
                </c:pt>
                <c:pt idx="4">
                  <c:v>13</c:v>
                </c:pt>
                <c:pt idx="5">
                  <c:v>15</c:v>
                </c:pt>
                <c:pt idx="6">
                  <c:v>17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4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Kolumna 2</c:v>
                </c:pt>
              </c:strCache>
            </c:strRef>
          </c:tx>
          <c:spPr>
            <a:solidFill>
              <a:srgbClr val="83CAFF"/>
            </a:solidFill>
            <a:ln>
              <a:noFill/>
            </a:ln>
          </c:spPr>
          <c:invertIfNegative val="1"/>
          <c:cat>
            <c:strRef>
              <c:f>categories</c:f>
              <c:strCache>
                <c:ptCount val="7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12</c:v>
                </c:pt>
                <c:pt idx="4">
                  <c:v>13</c:v>
                </c:pt>
                <c:pt idx="5">
                  <c:v>15</c:v>
                </c:pt>
                <c:pt idx="6">
                  <c:v>17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1">
                  <c:v>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</c14:spPr>
              </c14:invertSolidFillFmt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Kolumna 3</c:v>
                </c:pt>
              </c:strCache>
            </c:strRef>
          </c:tx>
          <c:spPr>
            <a:solidFill>
              <a:srgbClr val="7E0021"/>
            </a:solidFill>
            <a:ln>
              <a:noFill/>
            </a:ln>
          </c:spPr>
          <c:invertIfNegative val="1"/>
          <c:cat>
            <c:strRef>
              <c:f>categories</c:f>
              <c:strCache>
                <c:ptCount val="7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12</c:v>
                </c:pt>
                <c:pt idx="4">
                  <c:v>13</c:v>
                </c:pt>
                <c:pt idx="5">
                  <c:v>15</c:v>
                </c:pt>
                <c:pt idx="6">
                  <c:v>17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7"/>
                <c:pt idx="2">
                  <c:v>9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</c14:spPr>
              </c14:invertSolidFillFmt>
            </c:ext>
          </c:extLst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Kolumna 4</c:v>
                </c:pt>
              </c:strCache>
            </c:strRef>
          </c:tx>
          <c:spPr>
            <a:solidFill>
              <a:srgbClr val="579D1C"/>
            </a:solidFill>
            <a:ln>
              <a:noFill/>
            </a:ln>
          </c:spPr>
          <c:invertIfNegative val="1"/>
          <c:cat>
            <c:strRef>
              <c:f>categories</c:f>
              <c:strCache>
                <c:ptCount val="7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12</c:v>
                </c:pt>
                <c:pt idx="4">
                  <c:v>13</c:v>
                </c:pt>
                <c:pt idx="5">
                  <c:v>15</c:v>
                </c:pt>
                <c:pt idx="6">
                  <c:v>17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7"/>
                <c:pt idx="3">
                  <c:v>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</c14:spPr>
              </c14:invertSolidFillFmt>
            </c:ext>
          </c:extLst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Kolumna 5</c:v>
                </c:pt>
              </c:strCache>
            </c:strRef>
          </c:tx>
          <c:spPr>
            <a:solidFill>
              <a:srgbClr val="004586"/>
            </a:solidFill>
            <a:ln>
              <a:noFill/>
            </a:ln>
          </c:spPr>
          <c:invertIfNegative val="1"/>
          <c:cat>
            <c:strRef>
              <c:f>categories</c:f>
              <c:strCache>
                <c:ptCount val="7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12</c:v>
                </c:pt>
                <c:pt idx="4">
                  <c:v>13</c:v>
                </c:pt>
                <c:pt idx="5">
                  <c:v>15</c:v>
                </c:pt>
                <c:pt idx="6">
                  <c:v>17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7"/>
                <c:pt idx="4">
                  <c:v>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</c14:spPr>
              </c14:invertSolidFillFmt>
            </c:ext>
          </c:extLst>
        </c:ser>
        <c:ser>
          <c:idx val="5"/>
          <c:order val="5"/>
          <c:tx>
            <c:strRef>
              <c:f>label 5</c:f>
              <c:strCache>
                <c:ptCount val="1"/>
                <c:pt idx="0">
                  <c:v>Kolumna 6</c:v>
                </c:pt>
              </c:strCache>
            </c:strRef>
          </c:tx>
          <c:spPr>
            <a:solidFill>
              <a:srgbClr val="FF420E"/>
            </a:solidFill>
            <a:ln>
              <a:noFill/>
            </a:ln>
          </c:spPr>
          <c:invertIfNegative val="1"/>
          <c:cat>
            <c:strRef>
              <c:f>categories</c:f>
              <c:strCache>
                <c:ptCount val="7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12</c:v>
                </c:pt>
                <c:pt idx="4">
                  <c:v>13</c:v>
                </c:pt>
                <c:pt idx="5">
                  <c:v>15</c:v>
                </c:pt>
                <c:pt idx="6">
                  <c:v>17</c:v>
                </c:pt>
              </c:strCache>
            </c:strRef>
          </c:cat>
          <c:val>
            <c:numRef>
              <c:f>5</c:f>
              <c:numCache>
                <c:formatCode>General</c:formatCode>
                <c:ptCount val="7"/>
                <c:pt idx="5">
                  <c:v>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</c14:spPr>
              </c14:invertSolidFillFmt>
            </c:ext>
          </c:extLst>
        </c:ser>
        <c:ser>
          <c:idx val="6"/>
          <c:order val="6"/>
          <c:tx>
            <c:strRef>
              <c:f>label 6</c:f>
              <c:strCache>
                <c:ptCount val="1"/>
                <c:pt idx="0">
                  <c:v>Kolumna 7</c:v>
                </c:pt>
              </c:strCache>
            </c:strRef>
          </c:tx>
          <c:spPr>
            <a:solidFill>
              <a:srgbClr val="FFD320"/>
            </a:solidFill>
            <a:ln>
              <a:noFill/>
            </a:ln>
          </c:spPr>
          <c:invertIfNegative val="1"/>
          <c:cat>
            <c:strRef>
              <c:f>categories</c:f>
              <c:strCache>
                <c:ptCount val="7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12</c:v>
                </c:pt>
                <c:pt idx="4">
                  <c:v>13</c:v>
                </c:pt>
                <c:pt idx="5">
                  <c:v>15</c:v>
                </c:pt>
                <c:pt idx="6">
                  <c:v>17</c:v>
                </c:pt>
              </c:strCache>
            </c:strRef>
          </c:cat>
          <c:val>
            <c:numRef>
              <c:f>6</c:f>
              <c:numCache>
                <c:formatCode>General</c:formatCode>
                <c:ptCount val="7"/>
                <c:pt idx="6">
                  <c:v>8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3800832"/>
        <c:axId val="83802368"/>
      </c:barChart>
      <c:catAx>
        <c:axId val="8380083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crossAx val="83802368"/>
        <c:crosses val="autoZero"/>
        <c:auto val="1"/>
        <c:lblAlgn val="ctr"/>
        <c:lblOffset val="100"/>
        <c:noMultiLvlLbl val="1"/>
      </c:catAx>
      <c:valAx>
        <c:axId val="83802368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rgbClr val="B3B3B3"/>
            </a:solidFill>
          </a:ln>
        </c:spPr>
        <c:crossAx val="83800832"/>
        <c:crosses val="autoZero"/>
        <c:crossBetween val="between"/>
      </c:valAx>
      <c:spPr>
        <a:noFill/>
        <a:ln>
          <a:solidFill>
            <a:srgbClr val="B3B3B3"/>
          </a:solidFill>
        </a:ln>
      </c:spPr>
    </c:plotArea>
    <c:legend>
      <c:legendPos val="r"/>
      <c:layout/>
      <c:overlay val="0"/>
      <c:spPr>
        <a:noFill/>
        <a:ln>
          <a:noFill/>
        </a:ln>
      </c:spPr>
    </c:legend>
    <c:plotVisOnly val="1"/>
    <c:dispBlanksAs val="zero"/>
    <c:showDLblsOverMax val="1"/>
  </c:chart>
  <c:spPr>
    <a:noFill/>
    <a:ln>
      <a:noFill/>
    </a:ln>
  </c:spPr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2015-12-06T18:48:00Z</dcterms:created>
  <dcterms:modified xsi:type="dcterms:W3CDTF">2015-12-06T18:48:00Z</dcterms:modified>
  <dc:language>pl-PL</dc:language>
</cp:coreProperties>
</file>