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30FB2" w14:textId="3E773D7F" w:rsidR="00541BBC" w:rsidRDefault="00541BBC">
      <w:r>
        <w:t>Temat Druga zasada dynamiki Newtona (lekcja online).</w:t>
      </w:r>
    </w:p>
    <w:p w14:paraId="7F7F0966" w14:textId="77777777" w:rsidR="00541BBC" w:rsidRDefault="00541BBC"/>
    <w:p w14:paraId="214B8EC7" w14:textId="6AB13458" w:rsidR="00541BBC" w:rsidRDefault="00541BBC"/>
    <w:p w14:paraId="2B31FBD2" w14:textId="77777777" w:rsidR="00541BBC" w:rsidRDefault="00541BBC"/>
    <w:sectPr w:rsidR="0054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BC"/>
    <w:rsid w:val="002A012B"/>
    <w:rsid w:val="00541BBC"/>
    <w:rsid w:val="00E2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E746"/>
  <w15:chartTrackingRefBased/>
  <w15:docId w15:val="{490C3F5D-2592-4229-BAA4-BED399F4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2020-05-25T21:54:00Z</dcterms:created>
  <dcterms:modified xsi:type="dcterms:W3CDTF">2020-05-25T22:12:00Z</dcterms:modified>
</cp:coreProperties>
</file>