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03053">
      <w:r>
        <w:t>Lekcja 27.05.2020r.</w:t>
      </w:r>
    </w:p>
    <w:p w:rsidR="00003053" w:rsidRDefault="00003053">
      <w:pPr>
        <w:rPr>
          <w:rFonts w:ascii="Calibri" w:eastAsia="Calibri" w:hAnsi="Calibri" w:cs="Calibri"/>
          <w:color w:val="181717"/>
          <w:sz w:val="24"/>
        </w:rPr>
      </w:pPr>
      <w:r>
        <w:t xml:space="preserve">Temat: </w:t>
      </w:r>
      <w:r w:rsidR="006A4873">
        <w:rPr>
          <w:rFonts w:ascii="Calibri" w:eastAsia="Calibri" w:hAnsi="Calibri" w:cs="Calibri"/>
          <w:color w:val="181717"/>
          <w:sz w:val="24"/>
        </w:rPr>
        <w:t>Ś</w:t>
      </w:r>
      <w:r w:rsidR="006A4873" w:rsidRPr="006A4873">
        <w:rPr>
          <w:rFonts w:ascii="Calibri" w:eastAsia="Calibri" w:hAnsi="Calibri" w:cs="Calibri"/>
          <w:color w:val="181717"/>
          <w:sz w:val="24"/>
        </w:rPr>
        <w:t>cigający i ścigani</w:t>
      </w:r>
      <w:r w:rsidR="006A4873">
        <w:rPr>
          <w:rFonts w:ascii="Calibri" w:eastAsia="Calibri" w:hAnsi="Calibri" w:cs="Calibri"/>
          <w:color w:val="181717"/>
          <w:sz w:val="24"/>
        </w:rPr>
        <w:t>.</w:t>
      </w:r>
    </w:p>
    <w:p w:rsidR="00026FB0" w:rsidRDefault="00026FB0">
      <w:pPr>
        <w:rPr>
          <w:rFonts w:ascii="Calibri" w:eastAsia="Calibri" w:hAnsi="Calibri" w:cs="Calibri"/>
          <w:color w:val="181717"/>
          <w:sz w:val="24"/>
        </w:rPr>
      </w:pPr>
      <w:r>
        <w:rPr>
          <w:rFonts w:ascii="Calibri" w:eastAsia="Calibri" w:hAnsi="Calibri" w:cs="Calibri"/>
          <w:color w:val="181717"/>
          <w:sz w:val="24"/>
        </w:rPr>
        <w:t>Lekcja online.</w:t>
      </w:r>
      <w:bookmarkStart w:id="0" w:name="_GoBack"/>
      <w:bookmarkEnd w:id="0"/>
    </w:p>
    <w:p w:rsidR="006A4873" w:rsidRPr="006A4873" w:rsidRDefault="006A4873" w:rsidP="006A4873">
      <w:pPr>
        <w:spacing w:after="0"/>
        <w:ind w:left="-5" w:hanging="10"/>
        <w:rPr>
          <w:sz w:val="18"/>
          <w:szCs w:val="18"/>
        </w:rPr>
      </w:pPr>
      <w:r w:rsidRPr="006A4873">
        <w:rPr>
          <w:rFonts w:eastAsia="Calibri" w:cs="Calibri"/>
          <w:b/>
          <w:color w:val="384184"/>
          <w:sz w:val="18"/>
          <w:szCs w:val="18"/>
        </w:rPr>
        <w:t>Cele lekcji:</w:t>
      </w:r>
      <w:r w:rsidRPr="006A4873">
        <w:rPr>
          <w:rFonts w:eastAsia="Times New Roman" w:cs="Times New Roman"/>
          <w:color w:val="181717"/>
          <w:sz w:val="18"/>
          <w:szCs w:val="18"/>
        </w:rPr>
        <w:t xml:space="preserve"> </w:t>
      </w:r>
    </w:p>
    <w:p w:rsidR="006A4873" w:rsidRPr="006A4873" w:rsidRDefault="006A4873" w:rsidP="006A4873">
      <w:pPr>
        <w:numPr>
          <w:ilvl w:val="0"/>
          <w:numId w:val="1"/>
        </w:numPr>
        <w:spacing w:after="6" w:line="258" w:lineRule="auto"/>
        <w:ind w:right="173" w:hanging="170"/>
        <w:rPr>
          <w:sz w:val="18"/>
          <w:szCs w:val="18"/>
        </w:rPr>
      </w:pPr>
      <w:r w:rsidRPr="006A4873">
        <w:rPr>
          <w:rFonts w:eastAsia="Times New Roman" w:cs="Times New Roman"/>
          <w:color w:val="181717"/>
          <w:sz w:val="18"/>
          <w:szCs w:val="18"/>
        </w:rPr>
        <w:t>doskonalenie sprawności charakteryzowania bohaterów;</w:t>
      </w:r>
    </w:p>
    <w:p w:rsidR="006A4873" w:rsidRPr="006A4873" w:rsidRDefault="006A4873" w:rsidP="006A4873">
      <w:pPr>
        <w:numPr>
          <w:ilvl w:val="0"/>
          <w:numId w:val="1"/>
        </w:numPr>
        <w:spacing w:after="6" w:line="258" w:lineRule="auto"/>
        <w:ind w:right="173" w:hanging="170"/>
        <w:rPr>
          <w:sz w:val="18"/>
          <w:szCs w:val="18"/>
        </w:rPr>
      </w:pPr>
      <w:r w:rsidRPr="006A4873">
        <w:rPr>
          <w:rFonts w:eastAsia="Times New Roman" w:cs="Times New Roman"/>
          <w:color w:val="181717"/>
          <w:sz w:val="18"/>
          <w:szCs w:val="18"/>
        </w:rPr>
        <w:t xml:space="preserve">ćwiczenie umiejętności wartościowania, oceniania postaw; </w:t>
      </w:r>
    </w:p>
    <w:p w:rsidR="006A4873" w:rsidRPr="006A4873" w:rsidRDefault="006A4873" w:rsidP="006A4873">
      <w:pPr>
        <w:numPr>
          <w:ilvl w:val="0"/>
          <w:numId w:val="1"/>
        </w:numPr>
        <w:spacing w:after="6" w:line="258" w:lineRule="auto"/>
        <w:ind w:right="173" w:hanging="170"/>
        <w:rPr>
          <w:sz w:val="18"/>
          <w:szCs w:val="18"/>
        </w:rPr>
      </w:pPr>
      <w:r w:rsidRPr="006A4873">
        <w:rPr>
          <w:rFonts w:eastAsia="Times New Roman" w:cs="Times New Roman"/>
          <w:color w:val="181717"/>
          <w:sz w:val="18"/>
          <w:szCs w:val="18"/>
        </w:rPr>
        <w:t>doskonalenie umiejętności wyszukiwania w tekście potrzebnych informacji;</w:t>
      </w:r>
    </w:p>
    <w:p w:rsidR="006A4873" w:rsidRPr="006A4873" w:rsidRDefault="006A4873" w:rsidP="006A4873">
      <w:pPr>
        <w:numPr>
          <w:ilvl w:val="0"/>
          <w:numId w:val="1"/>
        </w:numPr>
        <w:spacing w:after="27" w:line="258" w:lineRule="auto"/>
        <w:ind w:right="173" w:hanging="170"/>
        <w:rPr>
          <w:sz w:val="18"/>
          <w:szCs w:val="18"/>
        </w:rPr>
      </w:pPr>
      <w:r w:rsidRPr="006A4873">
        <w:rPr>
          <w:rFonts w:eastAsia="Times New Roman" w:cs="Times New Roman"/>
          <w:color w:val="181717"/>
          <w:sz w:val="18"/>
          <w:szCs w:val="18"/>
        </w:rPr>
        <w:t>ćwiczenie sprawności tworzenia spójnych wypowiedzi ustnych i pisemnych, poprawnych pod wzg</w:t>
      </w:r>
      <w:r w:rsidRPr="006A4873">
        <w:rPr>
          <w:rFonts w:eastAsia="Times New Roman" w:cs="Times New Roman"/>
          <w:color w:val="181717"/>
          <w:sz w:val="18"/>
          <w:szCs w:val="18"/>
        </w:rPr>
        <w:t>lędem językowym i stylistycznym.</w:t>
      </w:r>
    </w:p>
    <w:p w:rsidR="006A4873" w:rsidRDefault="006A4873">
      <w:pPr>
        <w:rPr>
          <w:sz w:val="18"/>
          <w:szCs w:val="18"/>
        </w:rPr>
      </w:pPr>
    </w:p>
    <w:p w:rsidR="006A4873" w:rsidRPr="006A4873" w:rsidRDefault="006A4873" w:rsidP="006A4873">
      <w:pPr>
        <w:pStyle w:val="Akapitzlist"/>
        <w:numPr>
          <w:ilvl w:val="0"/>
          <w:numId w:val="2"/>
        </w:numPr>
      </w:pPr>
      <w:r w:rsidRPr="006A4873">
        <w:t>Zapoznaj się z pojęciami:</w:t>
      </w:r>
    </w:p>
    <w:tbl>
      <w:tblPr>
        <w:tblStyle w:val="TableGrid"/>
        <w:tblW w:w="9638" w:type="dxa"/>
        <w:tblInd w:w="0" w:type="dxa"/>
        <w:tblCellMar>
          <w:top w:w="0" w:type="dxa"/>
          <w:left w:w="170" w:type="dxa"/>
          <w:bottom w:w="0" w:type="dxa"/>
          <w:right w:w="208" w:type="dxa"/>
        </w:tblCellMar>
        <w:tblLook w:val="04A0" w:firstRow="1" w:lastRow="0" w:firstColumn="1" w:lastColumn="0" w:noHBand="0" w:noVBand="1"/>
      </w:tblPr>
      <w:tblGrid>
        <w:gridCol w:w="9638"/>
      </w:tblGrid>
      <w:tr w:rsidR="006A4873" w:rsidTr="006A4873">
        <w:trPr>
          <w:trHeight w:val="468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873" w:rsidRDefault="006A4873" w:rsidP="00096639">
            <w:pPr>
              <w:ind w:right="1820"/>
            </w:pPr>
            <w:r>
              <w:rPr>
                <w:rFonts w:ascii="Calibri" w:eastAsia="Calibri" w:hAnsi="Calibri" w:cs="Calibri"/>
                <w:color w:val="384184"/>
                <w:sz w:val="20"/>
              </w:rPr>
              <w:t>denat</w:t>
            </w:r>
            <w:r>
              <w:rPr>
                <w:rFonts w:ascii="Calibri" w:eastAsia="Calibri" w:hAnsi="Calibri" w:cs="Calibri"/>
                <w:color w:val="181717"/>
                <w:sz w:val="20"/>
              </w:rPr>
              <w:t xml:space="preserve"> – człowiek zmarły gwałtowną śmiercią, np. ofiara zabójstwa lub wypadku </w:t>
            </w:r>
            <w:r>
              <w:rPr>
                <w:rFonts w:ascii="Calibri" w:eastAsia="Calibri" w:hAnsi="Calibri" w:cs="Calibri"/>
                <w:color w:val="384184"/>
                <w:sz w:val="20"/>
              </w:rPr>
              <w:t>identyfikacja</w:t>
            </w:r>
            <w:r>
              <w:rPr>
                <w:rFonts w:ascii="Calibri" w:eastAsia="Calibri" w:hAnsi="Calibri" w:cs="Calibri"/>
                <w:color w:val="181717"/>
                <w:sz w:val="20"/>
              </w:rPr>
              <w:t xml:space="preserve"> – stwierdzenie czyjejś tożsamości, rozpoznanie, utożsamienie</w:t>
            </w:r>
          </w:p>
        </w:tc>
      </w:tr>
      <w:tr w:rsidR="006A4873" w:rsidTr="006A4873">
        <w:trPr>
          <w:trHeight w:val="499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873" w:rsidRDefault="006A4873" w:rsidP="00096639">
            <w:pPr>
              <w:jc w:val="both"/>
            </w:pPr>
            <w:r>
              <w:rPr>
                <w:rFonts w:ascii="Calibri" w:eastAsia="Calibri" w:hAnsi="Calibri" w:cs="Calibri"/>
                <w:color w:val="384184"/>
                <w:sz w:val="20"/>
              </w:rPr>
              <w:t>poszlaka</w:t>
            </w:r>
            <w:r>
              <w:rPr>
                <w:rFonts w:ascii="Calibri" w:eastAsia="Calibri" w:hAnsi="Calibri" w:cs="Calibri"/>
                <w:color w:val="181717"/>
                <w:sz w:val="20"/>
              </w:rPr>
              <w:t xml:space="preserve"> – okoliczność przemawiająca na niekorzyść oskarżonego, niebędąca jednak bezpośrednim dowodem jego winy</w:t>
            </w:r>
          </w:p>
        </w:tc>
      </w:tr>
      <w:tr w:rsidR="006A4873" w:rsidTr="006A4873">
        <w:trPr>
          <w:trHeight w:val="221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873" w:rsidRDefault="006A4873" w:rsidP="00096639">
            <w:r>
              <w:rPr>
                <w:rFonts w:ascii="Calibri" w:eastAsia="Calibri" w:hAnsi="Calibri" w:cs="Calibri"/>
                <w:color w:val="384184"/>
                <w:sz w:val="20"/>
              </w:rPr>
              <w:t>alibi</w:t>
            </w:r>
            <w:r>
              <w:rPr>
                <w:rFonts w:ascii="Calibri" w:eastAsia="Calibri" w:hAnsi="Calibri" w:cs="Calibri"/>
                <w:color w:val="181717"/>
                <w:sz w:val="20"/>
              </w:rPr>
              <w:t xml:space="preserve"> – dowód, że osoba podejrzana nie przebywała w miejscu przestępstwa w czasie, gdy zostało ono popełnione</w:t>
            </w:r>
          </w:p>
        </w:tc>
      </w:tr>
      <w:tr w:rsidR="006A4873" w:rsidTr="006A4873">
        <w:trPr>
          <w:trHeight w:val="50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873" w:rsidRDefault="006A4873" w:rsidP="00096639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color w:val="384184"/>
                <w:sz w:val="20"/>
              </w:rPr>
              <w:t>konfrontacja</w:t>
            </w:r>
            <w:r>
              <w:rPr>
                <w:rFonts w:ascii="Calibri" w:eastAsia="Calibri" w:hAnsi="Calibri" w:cs="Calibri"/>
                <w:color w:val="181717"/>
                <w:sz w:val="20"/>
              </w:rPr>
              <w:t xml:space="preserve"> – jednoczesne stawienie np. przed sądem dwu lub więcej świadków w celu wyjaśnienia sprawy, co do której zachodziły pewne sprzeczności w zeznaniach</w:t>
            </w:r>
          </w:p>
          <w:p w:rsidR="006A4873" w:rsidRDefault="006A4873" w:rsidP="006A4873">
            <w:pPr>
              <w:pStyle w:val="Akapitzlist"/>
              <w:numPr>
                <w:ilvl w:val="0"/>
                <w:numId w:val="2"/>
              </w:numPr>
            </w:pPr>
            <w:r>
              <w:t>Wskaż</w:t>
            </w:r>
            <w:r w:rsidRPr="006A4873">
              <w:t xml:space="preserve">, jakie były pobudki przestępców opisanych </w:t>
            </w:r>
            <w:r>
              <w:t>przez Agathę Christie, wyciągnij</w:t>
            </w:r>
            <w:r w:rsidRPr="006A4873">
              <w:t xml:space="preserve"> wnioski</w:t>
            </w:r>
            <w:r>
              <w:t>.</w:t>
            </w:r>
          </w:p>
          <w:p w:rsidR="006A4873" w:rsidRDefault="006A4873" w:rsidP="006A4873">
            <w:pPr>
              <w:pStyle w:val="Akapitzlist"/>
              <w:numPr>
                <w:ilvl w:val="0"/>
                <w:numId w:val="2"/>
              </w:numPr>
            </w:pPr>
            <w:r>
              <w:t>Napisz</w:t>
            </w:r>
            <w:r w:rsidRPr="006A4873">
              <w:t xml:space="preserve"> list gończy za najgroźniejszym wed</w:t>
            </w:r>
            <w:r>
              <w:t>ług ciebie</w:t>
            </w:r>
            <w:r w:rsidRPr="006A4873">
              <w:t xml:space="preserve"> przestępcą</w:t>
            </w:r>
            <w:r>
              <w:t>.</w:t>
            </w:r>
          </w:p>
          <w:p w:rsidR="006A4873" w:rsidRPr="006A4873" w:rsidRDefault="006A4873" w:rsidP="006A4873">
            <w:pPr>
              <w:ind w:left="360"/>
            </w:pPr>
          </w:p>
        </w:tc>
      </w:tr>
    </w:tbl>
    <w:p w:rsidR="006A4873" w:rsidRDefault="006A4873" w:rsidP="006A4873">
      <w:pPr>
        <w:tabs>
          <w:tab w:val="right" w:pos="7870"/>
        </w:tabs>
        <w:spacing w:after="148"/>
        <w:rPr>
          <w:rFonts w:ascii="Calibri" w:eastAsia="Calibri" w:hAnsi="Calibri" w:cs="Calibri"/>
          <w:color w:val="181717"/>
          <w:sz w:val="20"/>
        </w:rPr>
      </w:pPr>
      <w:r>
        <w:rPr>
          <w:rFonts w:ascii="Calibri" w:eastAsia="Calibri" w:hAnsi="Calibri" w:cs="Calibri"/>
          <w:color w:val="181717"/>
          <w:sz w:val="20"/>
        </w:rPr>
        <w:t xml:space="preserve">Poszukiwany: </w:t>
      </w:r>
      <w:r>
        <w:rPr>
          <w:rFonts w:ascii="Calibri" w:eastAsia="Calibri" w:hAnsi="Calibri" w:cs="Calibri"/>
          <w:b/>
          <w:color w:val="181717"/>
          <w:sz w:val="20"/>
        </w:rPr>
        <w:tab/>
      </w:r>
      <w:r>
        <w:rPr>
          <w:rFonts w:ascii="Calibri" w:eastAsia="Calibri" w:hAnsi="Calibri" w:cs="Calibri"/>
          <w:color w:val="181717"/>
          <w:sz w:val="20"/>
        </w:rPr>
        <w:t>21/3256L</w:t>
      </w:r>
    </w:p>
    <w:p w:rsidR="006A4873" w:rsidRDefault="006A4873" w:rsidP="006A4873">
      <w:pPr>
        <w:tabs>
          <w:tab w:val="right" w:pos="7870"/>
        </w:tabs>
        <w:spacing w:after="148"/>
        <w:rPr>
          <w:rFonts w:ascii="Calibri" w:eastAsia="Calibri" w:hAnsi="Calibri" w:cs="Calibri"/>
          <w:color w:val="181717"/>
          <w:sz w:val="20"/>
        </w:rPr>
      </w:pPr>
    </w:p>
    <w:p w:rsidR="006A4873" w:rsidRDefault="006A4873" w:rsidP="006A4873">
      <w:pPr>
        <w:tabs>
          <w:tab w:val="right" w:pos="7870"/>
        </w:tabs>
        <w:spacing w:after="148"/>
        <w:rPr>
          <w:rFonts w:ascii="Calibri" w:eastAsia="Calibri" w:hAnsi="Calibri" w:cs="Calibri"/>
          <w:color w:val="181717"/>
          <w:sz w:val="20"/>
        </w:rPr>
      </w:pPr>
    </w:p>
    <w:p w:rsidR="006A4873" w:rsidRDefault="006A4873" w:rsidP="006A4873">
      <w:pPr>
        <w:tabs>
          <w:tab w:val="right" w:pos="7870"/>
        </w:tabs>
        <w:spacing w:after="148"/>
        <w:rPr>
          <w:rFonts w:ascii="Calibri" w:eastAsia="Calibri" w:hAnsi="Calibri" w:cs="Calibri"/>
          <w:color w:val="181717"/>
          <w:sz w:val="20"/>
        </w:rPr>
      </w:pPr>
    </w:p>
    <w:p w:rsidR="006A4873" w:rsidRDefault="006A4873" w:rsidP="006A4873">
      <w:pPr>
        <w:tabs>
          <w:tab w:val="right" w:pos="7870"/>
        </w:tabs>
        <w:spacing w:after="148"/>
        <w:rPr>
          <w:rFonts w:ascii="Calibri" w:eastAsia="Calibri" w:hAnsi="Calibri" w:cs="Calibri"/>
          <w:color w:val="181717"/>
          <w:sz w:val="20"/>
        </w:rPr>
      </w:pPr>
    </w:p>
    <w:p w:rsidR="006A4873" w:rsidRDefault="006A4873" w:rsidP="006A4873">
      <w:pPr>
        <w:tabs>
          <w:tab w:val="right" w:pos="7870"/>
        </w:tabs>
        <w:spacing w:after="148"/>
        <w:rPr>
          <w:rFonts w:ascii="Calibri" w:eastAsia="Calibri" w:hAnsi="Calibri" w:cs="Calibri"/>
          <w:color w:val="181717"/>
          <w:sz w:val="20"/>
        </w:rPr>
      </w:pPr>
    </w:p>
    <w:p w:rsidR="006A4873" w:rsidRDefault="006A4873" w:rsidP="006A4873">
      <w:pPr>
        <w:tabs>
          <w:tab w:val="right" w:pos="7870"/>
        </w:tabs>
        <w:spacing w:after="148"/>
      </w:pPr>
    </w:p>
    <w:p w:rsidR="006A4873" w:rsidRDefault="006A4873" w:rsidP="006A4873">
      <w:pPr>
        <w:spacing w:after="33"/>
        <w:jc w:val="right"/>
      </w:pPr>
      <w:r>
        <w:rPr>
          <w:rFonts w:ascii="Calibri" w:eastAsia="Calibri" w:hAnsi="Calibri" w:cs="Calibri"/>
          <w:color w:val="181717"/>
          <w:sz w:val="20"/>
        </w:rPr>
        <w:t>Prokurator okręgowy</w:t>
      </w:r>
    </w:p>
    <w:p w:rsidR="006A4873" w:rsidRDefault="006A4873" w:rsidP="006A4873">
      <w:pPr>
        <w:pStyle w:val="Akapitzlist"/>
        <w:rPr>
          <w:rFonts w:ascii="Calibri" w:eastAsia="Calibri" w:hAnsi="Calibri" w:cs="Calibri"/>
          <w:i/>
          <w:color w:val="181717"/>
          <w:sz w:val="20"/>
        </w:rPr>
      </w:pPr>
      <w:r>
        <w:rPr>
          <w:rFonts w:ascii="Calibri" w:eastAsia="Calibri" w:hAnsi="Calibri" w:cs="Calibri"/>
          <w:i/>
          <w:color w:val="181717"/>
          <w:sz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color w:val="181717"/>
          <w:sz w:val="20"/>
        </w:rPr>
        <w:t xml:space="preserve">John </w:t>
      </w:r>
      <w:proofErr w:type="spellStart"/>
      <w:r>
        <w:rPr>
          <w:rFonts w:ascii="Calibri" w:eastAsia="Calibri" w:hAnsi="Calibri" w:cs="Calibri"/>
          <w:i/>
          <w:color w:val="181717"/>
          <w:sz w:val="20"/>
        </w:rPr>
        <w:t>Smith</w:t>
      </w:r>
      <w:proofErr w:type="spellEnd"/>
    </w:p>
    <w:p w:rsidR="006A4873" w:rsidRPr="006A4873" w:rsidRDefault="006A4873" w:rsidP="006A4873">
      <w:pPr>
        <w:pStyle w:val="Akapitzlist"/>
        <w:numPr>
          <w:ilvl w:val="0"/>
          <w:numId w:val="2"/>
        </w:numPr>
      </w:pPr>
      <w:r w:rsidRPr="006A4873">
        <w:t>Zaprezentuj bohaterkę, która występuje w dwóch opowiadaniach w odmiennych rolach, scharakteryzuj ją; wyjaśniaj, co jest szczególnego w tej postaci.</w:t>
      </w:r>
    </w:p>
    <w:p w:rsidR="006A4873" w:rsidRPr="00026FB0" w:rsidRDefault="00026FB0" w:rsidP="006A4873">
      <w:pPr>
        <w:pStyle w:val="Akapitzlist"/>
        <w:numPr>
          <w:ilvl w:val="0"/>
          <w:numId w:val="2"/>
        </w:numPr>
      </w:pPr>
      <w:r w:rsidRPr="00026FB0">
        <w:t xml:space="preserve">Wyjaśnij </w:t>
      </w:r>
      <w:r w:rsidR="006A4873" w:rsidRPr="00026FB0">
        <w:t xml:space="preserve">czy Herkulesa </w:t>
      </w:r>
      <w:proofErr w:type="spellStart"/>
      <w:r w:rsidR="006A4873" w:rsidRPr="00026FB0">
        <w:t>Poirota</w:t>
      </w:r>
      <w:proofErr w:type="spellEnd"/>
      <w:r w:rsidR="006A4873" w:rsidRPr="00026FB0">
        <w:t xml:space="preserve"> można uznać za detektywa stulecia;</w:t>
      </w:r>
      <w:r w:rsidRPr="00026FB0">
        <w:t xml:space="preserve"> zaprezentuj własne zdanie i uzasadniaj</w:t>
      </w:r>
      <w:r w:rsidR="006A4873" w:rsidRPr="00026FB0">
        <w:t xml:space="preserve"> je</w:t>
      </w:r>
      <w:r w:rsidRPr="00026FB0">
        <w:t>.</w:t>
      </w:r>
    </w:p>
    <w:p w:rsidR="006A4873" w:rsidRPr="00026FB0" w:rsidRDefault="006A4873" w:rsidP="006A4873">
      <w:pPr>
        <w:ind w:left="360"/>
      </w:pPr>
    </w:p>
    <w:sectPr w:rsidR="006A4873" w:rsidRPr="0002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C4DD5"/>
    <w:multiLevelType w:val="hybridMultilevel"/>
    <w:tmpl w:val="36944CA4"/>
    <w:lvl w:ilvl="0" w:tplc="B2F040A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8BE92">
      <w:start w:val="1"/>
      <w:numFmt w:val="bullet"/>
      <w:lvlText w:val="o"/>
      <w:lvlJc w:val="left"/>
      <w:pPr>
        <w:ind w:left="1129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4AD272">
      <w:start w:val="1"/>
      <w:numFmt w:val="bullet"/>
      <w:lvlText w:val="▪"/>
      <w:lvlJc w:val="left"/>
      <w:pPr>
        <w:ind w:left="1849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46FEFC">
      <w:start w:val="1"/>
      <w:numFmt w:val="bullet"/>
      <w:lvlText w:val="•"/>
      <w:lvlJc w:val="left"/>
      <w:pPr>
        <w:ind w:left="2569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27176">
      <w:start w:val="1"/>
      <w:numFmt w:val="bullet"/>
      <w:lvlText w:val="o"/>
      <w:lvlJc w:val="left"/>
      <w:pPr>
        <w:ind w:left="3289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2AAAE">
      <w:start w:val="1"/>
      <w:numFmt w:val="bullet"/>
      <w:lvlText w:val="▪"/>
      <w:lvlJc w:val="left"/>
      <w:pPr>
        <w:ind w:left="4009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A73A0">
      <w:start w:val="1"/>
      <w:numFmt w:val="bullet"/>
      <w:lvlText w:val="•"/>
      <w:lvlJc w:val="left"/>
      <w:pPr>
        <w:ind w:left="4729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0B010">
      <w:start w:val="1"/>
      <w:numFmt w:val="bullet"/>
      <w:lvlText w:val="o"/>
      <w:lvlJc w:val="left"/>
      <w:pPr>
        <w:ind w:left="5449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8D0EC">
      <w:start w:val="1"/>
      <w:numFmt w:val="bullet"/>
      <w:lvlText w:val="▪"/>
      <w:lvlJc w:val="left"/>
      <w:pPr>
        <w:ind w:left="6169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0E1781"/>
    <w:multiLevelType w:val="hybridMultilevel"/>
    <w:tmpl w:val="FE90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53"/>
    <w:rsid w:val="00003053"/>
    <w:rsid w:val="00026FB0"/>
    <w:rsid w:val="006A4873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BA5F3-6C4C-4C8C-B9D2-AB5AC48B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873"/>
    <w:pPr>
      <w:ind w:left="720"/>
      <w:contextualSpacing/>
    </w:pPr>
  </w:style>
  <w:style w:type="table" w:customStyle="1" w:styleId="TableGrid">
    <w:name w:val="TableGrid"/>
    <w:rsid w:val="006A487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2020-05-25T11:47:00Z</dcterms:created>
  <dcterms:modified xsi:type="dcterms:W3CDTF">2020-05-25T11:58:00Z</dcterms:modified>
</cp:coreProperties>
</file>