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20DE" w14:textId="3B15E194" w:rsidR="00A125EE" w:rsidRPr="0080186D" w:rsidRDefault="00A125EE" w:rsidP="006A1949">
      <w:pPr>
        <w:pStyle w:val="rozdzial"/>
        <w:spacing w:after="120"/>
        <w:ind w:left="0" w:firstLine="0"/>
      </w:pPr>
      <w:r w:rsidRPr="0080186D">
        <w:t xml:space="preserve">Przedmiotowy system oceniania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14:paraId="645D7555" w14:textId="77777777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 w14:paraId="71635A2D" w14:textId="7777777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14:paraId="46A2DF75" w14:textId="77777777"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14:paraId="0B8765EA" w14:textId="77777777"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59E98373" w14:textId="77777777"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14:paraId="6E64C6B0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14:paraId="2B274E11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14:paraId="1DEAAD08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14:paraId="53EA65E2" w14:textId="44C5BA33"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8500A1" w14:textId="77777777"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27DBA28C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3880"/>
        <w:gridCol w:w="3634"/>
        <w:gridCol w:w="3135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10E62976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  <w:r w:rsidR="00AC4DE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="00AC4DE6">
              <w:rPr>
                <w:b/>
                <w:color w:val="9B2424"/>
                <w:sz w:val="17"/>
                <w:szCs w:val="17"/>
              </w:rPr>
              <w:t>i</w:t>
            </w:r>
            <w:proofErr w:type="spellEnd"/>
            <w:r w:rsidR="00AC4DE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="00AC4DE6">
              <w:rPr>
                <w:b/>
                <w:color w:val="9B2424"/>
                <w:sz w:val="17"/>
                <w:szCs w:val="17"/>
              </w:rPr>
              <w:t>celujący</w:t>
            </w:r>
            <w:proofErr w:type="spellEnd"/>
            <w:r w:rsidR="00AC4DE6">
              <w:rPr>
                <w:b/>
                <w:color w:val="9B2424"/>
                <w:sz w:val="17"/>
                <w:szCs w:val="17"/>
              </w:rPr>
              <w:t xml:space="preserve"> </w:t>
            </w:r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</w:t>
            </w:r>
            <w:r>
              <w:rPr>
                <w:sz w:val="17"/>
                <w:szCs w:val="17"/>
                <w:lang w:val="pl-PL"/>
              </w:rPr>
              <w:lastRenderedPageBreak/>
              <w:t>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zobojętnienie zgromadzonego na nim ładunku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obwodu elektrycznego; podaje warunki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stosuje w obliczeniach związek między natężeniem prądu a ładunkiem i czasem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łączy według podanego schematu obwód elektryczny składający się ze źródła (baterii), odbiornika (żarówki),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3816D94C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pojęciem zwojnicy; stwierdza, że zwojnica, przez którą płynie prąd elektryczny, zachowuje się jak magnes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na przykładzie żelaza oddziaływanie magnesów na materiały magnetyczne;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3D30B128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cznych; porównuje wartości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lastRenderedPageBreak/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14:paraId="5FF8E757" w14:textId="77777777"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592F1980" w14:textId="1AA75555"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podwielokrotności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 xml:space="preserve">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bieg promieni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553483F5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zjawisko załamania światła na granicy dwóch ośrodków różniących się prędkością rozchodzenia się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1185D302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14:paraId="06567861" w14:textId="6254FE62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1EF2BF4D" w14:textId="1B09D0C5"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629AE2E4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powstawanie obrazów 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pomocą soczewek,</w:t>
            </w:r>
          </w:p>
          <w:p w14:paraId="0635AC0A" w14:textId="77777777"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CD7B911" w14:textId="5F843913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 xml:space="preserve">zależności od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14:paraId="1BEB18A6" w14:textId="18756AC5"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677C" w14:textId="77777777" w:rsidR="00BD304C" w:rsidRDefault="00BD304C" w:rsidP="005019FC">
      <w:r>
        <w:separator/>
      </w:r>
    </w:p>
  </w:endnote>
  <w:endnote w:type="continuationSeparator" w:id="0">
    <w:p w14:paraId="366F5324" w14:textId="77777777" w:rsidR="00BD304C" w:rsidRDefault="00BD304C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5E14" w14:textId="77777777" w:rsidR="008144F3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8144F3" w:rsidRPr="00A65C11" w:rsidRDefault="0081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587A" w14:textId="77777777" w:rsidR="00BD304C" w:rsidRDefault="00BD304C" w:rsidP="005019FC">
      <w:r>
        <w:separator/>
      </w:r>
    </w:p>
  </w:footnote>
  <w:footnote w:type="continuationSeparator" w:id="0">
    <w:p w14:paraId="2BBC0F4F" w14:textId="77777777" w:rsidR="00BD304C" w:rsidRDefault="00BD304C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493E" w14:textId="77777777" w:rsidR="0080186D" w:rsidRDefault="0080186D">
    <w:pPr>
      <w:pStyle w:val="Nagwek"/>
    </w:pPr>
    <w:r w:rsidRPr="005019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4145" w14:textId="77777777" w:rsidR="008144F3" w:rsidRDefault="00F46D1F">
    <w:pPr>
      <w:pStyle w:val="Nagwek"/>
    </w:pPr>
    <w:r w:rsidRPr="00BD059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09E88AA" w14:textId="77777777" w:rsidR="008144F3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" fillcolor="#002060" stroked="f">
              <v:textbox inset=",0,,0">
                <w:txbxContent>
                  <w:p w14:paraId="009E88AA" w14:textId="77777777" w:rsidR="008144F3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1FDF435B" w14:textId="77777777" w:rsidR="008144F3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8144F3" w:rsidRPr="00A65C11" w:rsidRDefault="008144F3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" fillcolor="#b1c903" stroked="f">
              <v:textbox inset=",0,,0">
                <w:txbxContent>
                  <w:p w14:paraId="1FDF435B" w14:textId="77777777" w:rsidR="008144F3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8144F3" w:rsidRPr="00A65C11" w:rsidRDefault="008144F3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8144F3" w:rsidRDefault="00814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390928919">
    <w:abstractNumId w:val="26"/>
  </w:num>
  <w:num w:numId="2" w16cid:durableId="435634357">
    <w:abstractNumId w:val="10"/>
  </w:num>
  <w:num w:numId="3" w16cid:durableId="156649512">
    <w:abstractNumId w:val="24"/>
  </w:num>
  <w:num w:numId="4" w16cid:durableId="1798452414">
    <w:abstractNumId w:val="11"/>
  </w:num>
  <w:num w:numId="5" w16cid:durableId="1234587960">
    <w:abstractNumId w:val="33"/>
  </w:num>
  <w:num w:numId="6" w16cid:durableId="390351149">
    <w:abstractNumId w:val="37"/>
  </w:num>
  <w:num w:numId="7" w16cid:durableId="1337266056">
    <w:abstractNumId w:val="40"/>
  </w:num>
  <w:num w:numId="8" w16cid:durableId="1540822328">
    <w:abstractNumId w:val="8"/>
  </w:num>
  <w:num w:numId="9" w16cid:durableId="894438951">
    <w:abstractNumId w:val="13"/>
  </w:num>
  <w:num w:numId="10" w16cid:durableId="498883149">
    <w:abstractNumId w:val="18"/>
  </w:num>
  <w:num w:numId="11" w16cid:durableId="1376545386">
    <w:abstractNumId w:val="34"/>
  </w:num>
  <w:num w:numId="12" w16cid:durableId="1109400050">
    <w:abstractNumId w:val="25"/>
  </w:num>
  <w:num w:numId="13" w16cid:durableId="1334647102">
    <w:abstractNumId w:val="5"/>
  </w:num>
  <w:num w:numId="14" w16cid:durableId="515659548">
    <w:abstractNumId w:val="12"/>
  </w:num>
  <w:num w:numId="15" w16cid:durableId="1100565376">
    <w:abstractNumId w:val="23"/>
  </w:num>
  <w:num w:numId="16" w16cid:durableId="893156082">
    <w:abstractNumId w:val="44"/>
  </w:num>
  <w:num w:numId="17" w16cid:durableId="2015256603">
    <w:abstractNumId w:val="7"/>
  </w:num>
  <w:num w:numId="18" w16cid:durableId="991719070">
    <w:abstractNumId w:val="16"/>
  </w:num>
  <w:num w:numId="19" w16cid:durableId="2093818806">
    <w:abstractNumId w:val="15"/>
  </w:num>
  <w:num w:numId="20" w16cid:durableId="28845006">
    <w:abstractNumId w:val="17"/>
  </w:num>
  <w:num w:numId="21" w16cid:durableId="1908570179">
    <w:abstractNumId w:val="43"/>
  </w:num>
  <w:num w:numId="22" w16cid:durableId="1353799704">
    <w:abstractNumId w:val="2"/>
  </w:num>
  <w:num w:numId="23" w16cid:durableId="1016078700">
    <w:abstractNumId w:val="32"/>
  </w:num>
  <w:num w:numId="24" w16cid:durableId="39911732">
    <w:abstractNumId w:val="6"/>
  </w:num>
  <w:num w:numId="25" w16cid:durableId="1712487694">
    <w:abstractNumId w:val="19"/>
  </w:num>
  <w:num w:numId="26" w16cid:durableId="374621943">
    <w:abstractNumId w:val="9"/>
  </w:num>
  <w:num w:numId="27" w16cid:durableId="2058814215">
    <w:abstractNumId w:val="1"/>
  </w:num>
  <w:num w:numId="28" w16cid:durableId="1230070909">
    <w:abstractNumId w:val="0"/>
  </w:num>
  <w:num w:numId="29" w16cid:durableId="1126310003">
    <w:abstractNumId w:val="27"/>
  </w:num>
  <w:num w:numId="30" w16cid:durableId="1592465670">
    <w:abstractNumId w:val="35"/>
  </w:num>
  <w:num w:numId="31" w16cid:durableId="2048991998">
    <w:abstractNumId w:val="28"/>
  </w:num>
  <w:num w:numId="32" w16cid:durableId="1791313440">
    <w:abstractNumId w:val="42"/>
  </w:num>
  <w:num w:numId="33" w16cid:durableId="340931849">
    <w:abstractNumId w:val="38"/>
  </w:num>
  <w:num w:numId="34" w16cid:durableId="1020622721">
    <w:abstractNumId w:val="14"/>
  </w:num>
  <w:num w:numId="35" w16cid:durableId="1852257757">
    <w:abstractNumId w:val="39"/>
  </w:num>
  <w:num w:numId="36" w16cid:durableId="1268073966">
    <w:abstractNumId w:val="30"/>
  </w:num>
  <w:num w:numId="37" w16cid:durableId="1622489139">
    <w:abstractNumId w:val="3"/>
  </w:num>
  <w:num w:numId="38" w16cid:durableId="869489123">
    <w:abstractNumId w:val="22"/>
  </w:num>
  <w:num w:numId="39" w16cid:durableId="1329558155">
    <w:abstractNumId w:val="21"/>
  </w:num>
  <w:num w:numId="40" w16cid:durableId="1778714475">
    <w:abstractNumId w:val="4"/>
  </w:num>
  <w:num w:numId="41" w16cid:durableId="1942643712">
    <w:abstractNumId w:val="36"/>
  </w:num>
  <w:num w:numId="42" w16cid:durableId="1913390551">
    <w:abstractNumId w:val="31"/>
  </w:num>
  <w:num w:numId="43" w16cid:durableId="1210528687">
    <w:abstractNumId w:val="20"/>
  </w:num>
  <w:num w:numId="44" w16cid:durableId="1731343723">
    <w:abstractNumId w:val="41"/>
  </w:num>
  <w:num w:numId="45" w16cid:durableId="92819956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500BA"/>
    <w:rsid w:val="0005616E"/>
    <w:rsid w:val="00056C3C"/>
    <w:rsid w:val="0005791D"/>
    <w:rsid w:val="000B39E2"/>
    <w:rsid w:val="00112E23"/>
    <w:rsid w:val="00173924"/>
    <w:rsid w:val="001E690A"/>
    <w:rsid w:val="00222A6F"/>
    <w:rsid w:val="00264FAC"/>
    <w:rsid w:val="002A155F"/>
    <w:rsid w:val="002E66C0"/>
    <w:rsid w:val="003A094A"/>
    <w:rsid w:val="00474684"/>
    <w:rsid w:val="00480CBB"/>
    <w:rsid w:val="004F6C5C"/>
    <w:rsid w:val="005019FC"/>
    <w:rsid w:val="005722B7"/>
    <w:rsid w:val="005D0806"/>
    <w:rsid w:val="00616F22"/>
    <w:rsid w:val="00671DBD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144F3"/>
    <w:rsid w:val="0085190A"/>
    <w:rsid w:val="008650C9"/>
    <w:rsid w:val="00885EEE"/>
    <w:rsid w:val="008909F2"/>
    <w:rsid w:val="008973ED"/>
    <w:rsid w:val="00921BA1"/>
    <w:rsid w:val="00A125EE"/>
    <w:rsid w:val="00A953D0"/>
    <w:rsid w:val="00AC4DE6"/>
    <w:rsid w:val="00B02444"/>
    <w:rsid w:val="00BB3E18"/>
    <w:rsid w:val="00BD304C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DD334B"/>
    <w:rsid w:val="00DF7250"/>
    <w:rsid w:val="00E0228A"/>
    <w:rsid w:val="00E172B9"/>
    <w:rsid w:val="00E5544D"/>
    <w:rsid w:val="00E7303A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7" ma:contentTypeDescription="Utwórz nowy dokument." ma:contentTypeScope="" ma:versionID="398d539225597cc7d9e3a43a3fac54bb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e38acf560629834dcf16047d257c44a1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B9801-C21B-4214-B522-BF9CBDCC3154}"/>
</file>

<file path=customXml/itemProps3.xml><?xml version="1.0" encoding="utf-8"?>
<ds:datastoreItem xmlns:ds="http://schemas.openxmlformats.org/officeDocument/2006/customXml" ds:itemID="{10E9D291-64B9-44C0-A18B-1744B153C968}"/>
</file>

<file path=customXml/itemProps4.xml><?xml version="1.0" encoding="utf-8"?>
<ds:datastoreItem xmlns:ds="http://schemas.openxmlformats.org/officeDocument/2006/customXml" ds:itemID="{476A4BD1-B4C8-43CC-BB7C-403CD6FB2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4478</Words>
  <Characters>26869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Sylwia Kurek</cp:lastModifiedBy>
  <cp:revision>4</cp:revision>
  <dcterms:created xsi:type="dcterms:W3CDTF">2024-09-08T16:22:00Z</dcterms:created>
  <dcterms:modified xsi:type="dcterms:W3CDTF">2024-09-09T20:09:00Z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