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>
          <w:rFonts w:cs="Calibri" w:cstheme="minorHAnsi" w:ascii="Calibri" w:hAnsi="Calibri"/>
          <w:b/>
          <w:color w:val="231F20"/>
          <w:sz w:val="28"/>
          <w:shd w:fill="FFFFFF" w:val="clear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rFonts w:ascii="Arial" w:hAnsi="Arial"/>
          <w:b/>
          <w:sz w:val="24"/>
          <w:szCs w:val="24"/>
          <w:u w:val="none"/>
        </w:rPr>
        <w:t>PRZEDMIOTOWY SYSTEM OCENIANIA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b/>
          <w:sz w:val="24"/>
          <w:szCs w:val="24"/>
          <w:u w:val="none"/>
        </w:rPr>
        <w:t>Biologia Klasa VI</w:t>
      </w:r>
    </w:p>
    <w:p>
      <w:pPr>
        <w:pStyle w:val="Tretekstu"/>
        <w:numPr>
          <w:ilvl w:val="0"/>
          <w:numId w:val="3"/>
        </w:numPr>
        <w:tabs>
          <w:tab w:val="clear" w:pos="284"/>
          <w:tab w:val="left" w:pos="0" w:leader="none"/>
        </w:tabs>
        <w:spacing w:before="0" w:after="0"/>
        <w:ind w:left="709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Opracowany zgodnie z Wewnątrzszkolnymi Zasadami Oceniania oraz programem nauczania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biologii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w klasach 6 szkoły podstawowej „Puls Życia”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autorstwa Anny Zdziennickiej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, wydawnictwa „Nowa Era”.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3"/>
        </w:numPr>
        <w:tabs>
          <w:tab w:val="clear" w:pos="284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OCENIANIE ŚRÓDROCZNE I ROCZNE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O ocenie decydują: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samodzielnej pracy ucznia (sprawdziany, testy, kartkówki, wypowiedzi ustne, zadania w zeszycie ćwiczeń, prace praktyczne),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wspomagające (aktywność na lekcji, prace dodatkowe, udział w zajęciach pozalekcyjnych, konkursach).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Największą wartość mają: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pisemne,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praktyczne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rozwiązywanie problemów, uzasadnianie, wnioskowanie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Formy aktywności uczniów podlegające ocenie: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sprawdziany i kartkówki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Prowadzenie zeszytu przedmiotowego i ćwiczeń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Dodatkowe pomoce potrzebne do lekcji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Praca w grupach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albumy, zielniki, plakaty, gazetki itp.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 w czasie lekcji i działalność pozalekcyjna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konkursy, udział w akcjach  proekologicznych.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Aktywność pozalekcyjna wpływająca na podwyższenie oceny: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Sukcesy w konkursach przyrodniczych i ekologicznych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Zaangażowanie na rzecz ochrony środowiska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3"/>
        </w:numPr>
        <w:tabs>
          <w:tab w:val="clear" w:pos="284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ZASADY OCENIANIA</w:t>
      </w:r>
    </w:p>
    <w:p>
      <w:pPr>
        <w:pStyle w:val="Tretekstu"/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tbl>
      <w:tblPr>
        <w:tblW w:w="7229" w:type="dxa"/>
        <w:jc w:val="left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402"/>
        <w:gridCol w:w="340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celujący —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97% - 100%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bardzo dobry —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86%-96%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dobry —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70%-85%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dostateczny —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51% - 69%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dopuszczający —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34% - 50%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niedostateczny—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0% - 33 %</w:t>
            </w:r>
          </w:p>
        </w:tc>
      </w:tr>
    </w:tbl>
    <w:p>
      <w:pPr>
        <w:pStyle w:val="Normal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spacing w:before="0" w:after="0"/>
        <w:ind w:left="0" w:right="0" w:hanging="0"/>
        <w:jc w:val="left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Wszystkie oceny są jawne dla ucznia i jego rodziców.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może 1 raz w semestrze zgłosić nieprzygotowanie do lekcji bez podania przyczyny (nie dotyczy zapowiedzianych sprawdzianów ).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 na lekcjach, nagradzana jest „+”. Za plusy uczeń otrzymuje ocenę odpowiednio: za sześć plusów otrzymuje ocenę celującą, za pięć plusów ocenę bardzo dobrą itd. Brak zaangażowania i pracy na lekcji skutkuje otrzymaniem minusa. Za trzy minusy uczeń otrzymuje ocenę niedostateczną.</w:t>
      </w:r>
    </w:p>
    <w:p>
      <w:pPr>
        <w:pStyle w:val="Tretekstu"/>
        <w:numPr>
          <w:ilvl w:val="0"/>
          <w:numId w:val="3"/>
        </w:numPr>
        <w:tabs>
          <w:tab w:val="clear" w:pos="284"/>
          <w:tab w:val="left" w:pos="0" w:leader="none"/>
        </w:tabs>
        <w:spacing w:before="0" w:after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Przez aktywność na lekcji rozumiemy częste zgłaszanie się i udzielanie poprawnych odpowiedzi, wykonywanie zadań w czasie lekcji, sporządzania notatek, aktywną pracę w grupie.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nieobecny na lekcji ma obowiązek uzupełnić przerobiony zakres materiału, zadania w zeszycie ćwiczeń, notatki w zeszycie.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Ocenę z bieżących tematów ( do 3 lekcji wstecz) uzyskuje uczeń z krótkich kartkówek i odpowiedzi ustnych. Kartkówki nie muszą być zapowiadane, nie podlegają poprawie.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ma obowiązek prowadzenia zeszytu ćwiczeń i zeszytu przedmiotowego.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Style w:val="Strong"/>
          <w:rFonts w:ascii="Arial" w:hAnsi="Arial"/>
          <w:b/>
          <w:b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r>
    </w:p>
    <w:p>
      <w:pPr>
        <w:pStyle w:val="Tretekstu"/>
        <w:numPr>
          <w:ilvl w:val="0"/>
          <w:numId w:val="3"/>
        </w:numPr>
        <w:tabs>
          <w:tab w:val="clear" w:pos="284"/>
          <w:tab w:val="left" w:pos="0" w:leader="none"/>
        </w:tabs>
        <w:spacing w:before="0" w:after="0"/>
        <w:ind w:left="709" w:right="0" w:hanging="0"/>
        <w:jc w:val="center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WYMAGANIA NA POSZCZEGÓLNE STOPNIE W KLASYFIKACJI SEMESTRALNEJ I ROCZNEJ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Biologia Klasa VI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Uczeń otrzymuje ocenę:</w:t>
      </w:r>
    </w:p>
    <w:p>
      <w:pPr>
        <w:pStyle w:val="Tretekstu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NIEDOSTATECZNĄ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opanował minimum programowego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nawet przy pomocy nauczyciela nie potrafi wykonać prostych poleceń wymagających zastosowania podstawowych umiejętności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wyraźny brak zainteresowania przedmiotem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swoją postawą uniemożliwia pracę innym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wykonuje zadań postawionych przez nauczyciela lub realizowanych przez grupę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DOPUSZCZAJĄCĄ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materiał programowy w stopniu elementarnym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nazywa podstawowe zjawiska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, przejawiający się w codziennym życiu, pozytywny stosunek do środowiska naturalnego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przy pomocy nauczyciela lub kolegów potrafi wykonać proste polecenia, wymagające zastosowania podstawowych umiejętności wymaganych w procesie uczenia się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rozumie prosty tekst źródłowy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pracuje niesystematycznie, niechętnie wykonuje powierzone zadania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DOSTATECZNĄ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wiadomości i umiejętności w stopniu podstawowym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zna podstawowe pojęcia przyrodnicze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ocenia postawy wobec środowiska przyrodniczego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posługuje się mapą jako źródłem wiedzy przyrodniczej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obserwuje pośrednio i bezpośrednio procesy zachodzące w środowisku przyrodniczym oraz opisuje je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pod kierunkiem nauczyciela skorzystać z podstawowych źródeł informacji przyrodniczej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wykonać proste zadania pisemne oparte na podręczniku lub innych źródłach wiedzy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DOBRĄ  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wiadomości i umiejętności z podstawy programowej w stopniu dobrym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niewielkie luki w wiadomościach i umiejętnościach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rozwijanych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właściwie wykorzystuje przyrządy do obserwacji i pomiarów elementów przyrody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korzysta z różnych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dostrzega wpływ przyrody na życie i gospodarkę człowieka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proponuje działania na rzecz ochrony środowiska przyrodniczego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ocenia relacje między działalnością człowieka a środowiskiem przyrodniczym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dokonuje porównań zjawisk i elementów przyrody, posługując się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terminologią przyrodniczą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i efektywnie pracuje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BARDZO DOBRĄ jeżeli: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 pełni materiał programowy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wyjaśnia naturalne procesy w przyrodzie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rozwiązuje problemy i zadania postawione przez nauczyciela, posługując się zdobytymi umiejętnościami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pracuje na lekcjach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sprawnie korzysta z dostępnych i wskazanych przez nauczyciela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wykorzystuje wiedzę z przedmiotów pokrewnych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bierze udział w konkursach biologicznych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formułuje dłuższe wypowiedzi zawierające własne sądy i opinie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się aktywną postawą w klasie, wykonuje dodatkowe zadania, aktywnie uczestniczy w rozwiązywaniu zadań realizowanych przez grupę, często wykazuje własną inicjatywę.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CELUJĄCĄ  jeżeli :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wiadomości wykraczające poza materiał programowy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i twórczo rozwija własne zainteresowania biologią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wychodzi z samodzielnymi inicjatywami rozwiązania konkretnych problemów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odnosi sukcesy w konkursach , w których wymagana jest wiedza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biologiczna wykraczająca poza program nauczania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sięga do różnych źródeł informacji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prezentuje swoje umiejętności na forum klasy.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udowodnić swoje zdanie używając odpowiedniej argumentacji</w:t>
      </w:r>
    </w:p>
    <w:p>
      <w:pPr>
        <w:pStyle w:val="Tretekstu"/>
        <w:numPr>
          <w:ilvl w:val="0"/>
          <w:numId w:val="0"/>
        </w:numPr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jest bardzo aktywny</w:t>
      </w:r>
    </w:p>
    <w:p>
      <w:pPr>
        <w:pStyle w:val="Normal"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bookmarkStart w:id="0" w:name="_GoBack"/>
      <w:bookmarkEnd w:id="0"/>
      <w:r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>
      <w:pPr>
        <w:pStyle w:val="Normal"/>
        <w:spacing w:before="0" w:after="0"/>
        <w:contextualSpacing/>
        <w:rPr>
          <w:rFonts w:cs="Humanst521EU"/>
          <w:b/>
          <w:b/>
          <w:bCs/>
          <w:color w:val="000000"/>
          <w:szCs w:val="28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6"/>
        <w:gridCol w:w="1843"/>
        <w:gridCol w:w="1984"/>
        <w:gridCol w:w="2127"/>
        <w:gridCol w:w="2126"/>
        <w:gridCol w:w="2092"/>
        <w:gridCol w:w="2125"/>
      </w:tblGrid>
      <w:tr>
        <w:trPr>
          <w:trHeight w:val="156" w:hRule="atLeast"/>
        </w:trPr>
        <w:tc>
          <w:tcPr>
            <w:tcW w:w="169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Dział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Temat</w:t>
            </w:r>
          </w:p>
        </w:tc>
        <w:tc>
          <w:tcPr>
            <w:tcW w:w="10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Poziom wymagań</w:t>
            </w:r>
          </w:p>
        </w:tc>
      </w:tr>
      <w:tr>
        <w:trPr>
          <w:trHeight w:val="84" w:hRule="atLeast"/>
        </w:trPr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sz w:val="22"/>
                <w:szCs w:val="20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Pa20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dopuszczająca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dostateczna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dobra</w:t>
            </w:r>
          </w:p>
        </w:tc>
        <w:tc>
          <w:tcPr>
            <w:tcW w:w="2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bardzo dobra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cs="Calibri" w:cstheme="minorHAnsi"/>
                <w:b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C45911" w:themeColor="accent2" w:themeShade="bf"/>
                <w:kern w:val="0"/>
                <w:sz w:val="20"/>
                <w:szCs w:val="20"/>
                <w:lang w:bidi="ar-SA"/>
              </w:rPr>
              <w:t>ocena celująca</w:t>
            </w:r>
          </w:p>
        </w:tc>
      </w:tr>
      <w:tr>
        <w:trPr/>
        <w:tc>
          <w:tcPr>
            <w:tcW w:w="1696" w:type="dxa"/>
            <w:vMerge w:val="restart"/>
            <w:tcBorders/>
            <w:textDirection w:val="btLr"/>
          </w:tcPr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862" w:right="113" w:hanging="72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Różnorodność  i jedność świata zwierząt</w:t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I. Świat zwierząt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1. W królestwie zwierząt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wspólne cechy zwierząt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różnią się zwierzęta kręgowe od bezkręgowych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poziomy organizacji ciała zwierząt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zwierząt kręgowych i bezkręgowych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definiuje pojęcia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komórka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tkanka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narząd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układ narządów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bidi="ar-SA"/>
              </w:rPr>
              <w:t>organizm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podręcznika przyporządkowuje podane zwierzę do odpowiedniej grupy systematycznej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bezkręgowce i kręgowce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pokrycie ciała bezkręgowców i kręgowców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szkieletów bezkręgowców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000000"/>
                <w:kern w:val="0"/>
                <w:sz w:val="20"/>
                <w:szCs w:val="20"/>
                <w:lang w:bidi="ar-SA"/>
              </w:rPr>
              <w:t>Uczeń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prezentuje stopniowo komplikującą się budowę ciała zwierząt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opisu przyporządkowuje zwierzę do odpowiedniej grupy systematycznej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2. Tkanki: nabłonkowa, mięśniowa i nerwowa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tkanka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podstawowe rodzaje tkanek zwierzęcych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pomocy nauczyciela przeprowadza obserwację mikroskopową tkanek zwierzęcych i rysuje obrazy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najważniejsze funkcje wskazanej tkanki zwierzęcej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budowę wskazanej tkanki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niewielkiej pomocy nauczyciela przeprowadza obserwację mikroskopową tkanek zwierzęcych i rysuje obrazy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miejsca występowania w organizmie omawianych tkanek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przy pomocy nauczyciela rysuje obrazy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budowę poszczególnych tkanek zwierzęcych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rodzaje tkanek zwierzęcych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i sposób funkcjonowania tkanki mięśniowej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rysuje obrazy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analizuje budowę tkanek zwierzęcych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tkanek zwierzęcych a pełnionymi przez nie funkcjami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z dowolnego materiału model wybranej tkanki zwierzęcej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3. Tkanka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rodzaje tkanki łącznej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składniki krwi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pomocy nauczyciela przeprowadza obserwację mikroskopową tkanek zwierzęcych i rozpoznaje elementy tkanki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rozmieszczenie omawianych tkanek w organizmie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składniki krwi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 niewielkiej pomocy nauczyciela przeprowadza obserwację mikroskopową tkanek zwierzęcych i rozpoznaje elementy tkanki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zróżnicowanie w budowie tkanki łącznej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funkcje składników krwi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przy niewielkiej pomocy nauczyciela rozpoznaje charakterystyczne elementy obserwowanej tkanki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właściwości i funkcje tkanki kostnej, chrzęstnej i tłuszczowej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rolę poszczególnych składników morfotycznych krwi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na podstawie ilustracji rozpoznaje charakterystyczne elementy obserwowanej tkanki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elementów krwi a pełnionymi przez nie funkcjami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samodzielnie przeprowadza obserwację mikroskopową tkanek zwierzęcych i na podstawie ilustracji rozpoznaje oraz opisuje elementy tkanki widziane pod mikroskopem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4. Płazińce – zwierzęta, które mają płaskie ciało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miejsce występowania płazińców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tasiemca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ilustracji elementy budowy tasiemca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drogi inwazji tasiemca do organizmu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 na podstawie  schematu cyklu rozwojowego tasiemca żywiciela pośredniego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przystosowanie tasiemca do pasożytniczego trybu życia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znaczenie płazińców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 rolę żywiciela pośredniego i ostatecznego w cyklu rozwojowym tasiemca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płazińców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zapobiegania zarażeniu się tasiemcem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możliwości zakażenia się chorobami wywoływanymi przez płazińce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płazińców w przyrodzie i dla człowieka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000000"/>
                <w:kern w:val="0"/>
                <w:sz w:val="20"/>
                <w:szCs w:val="20"/>
                <w:lang w:bidi="ar-SA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. Nicienie – zwierzęta, które mają nitkowate ciało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nicieni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nicienie wśród innych zwierząt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nicieni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nicieni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choroby wywołane przez nicienie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drogi inwazji nicieni do organizmu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na czym polega „choroba brudnych rąk”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objawy chorób wywołanych przez nicienie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profilaktyki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możliwości zakażenia się chorobami wywoływanymi przez nicienie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przygotowuje prezentację np. PowerPoint) na temat chorób wywoływanych przez nicienie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znaczenie nicieni w przyrodzie i dla człowieka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0"/>
                <w:lang w:val="pl-PL" w:bidi="ar-SA"/>
              </w:rPr>
              <w:t xml:space="preserve">6. </w:t>
            </w:r>
            <w:r>
              <w:rPr>
                <w:rFonts w:cs="Calibri" w:ascii="Calibri" w:hAnsi="Calibri"/>
                <w:b/>
                <w:bCs/>
                <w:color w:val="000000"/>
                <w:kern w:val="0"/>
                <w:sz w:val="22"/>
                <w:szCs w:val="20"/>
                <w:lang w:val="pl-PL" w:bidi="ar-SA"/>
              </w:rPr>
              <w:t>Pierścienice (skąposzczety i pijawki) – zwierzęta, które mają segmentowane ciało</w:t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pierścienice wśród innych zwierząt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pierścienic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cechy charakterystyczne budowy zewnętrznej pierścienic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znaczenie szczecinek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środowisko i tryb życia pijawki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żywym okazie dżdżownicy lub na ilustracji wskazuje siodełko i wyjaśnia jego rolę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przystosowania pijawki do pasożytniczego trybu życia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pierścienic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zakłada hodowlę dżdżownic, wskazując, jak zwierzęta te przyczyniają się do poprawy struktury gleby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pierścienic w przyrodzie i dla człowieka</w:t>
            </w:r>
          </w:p>
        </w:tc>
      </w:tr>
      <w:tr>
        <w:trPr/>
        <w:tc>
          <w:tcPr>
            <w:tcW w:w="1696" w:type="dxa"/>
            <w:vMerge w:val="restart"/>
            <w:tcBorders/>
            <w:textDirection w:val="btLr"/>
          </w:tcPr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833" w:right="113" w:hanging="72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Stawonogi (skorupiaki, owady i pajęczaki)</w:t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III. Stawonogi</w:t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 mięczaki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 xml:space="preserve">. </w:t>
            </w:r>
            <w:r>
              <w:rPr>
                <w:rFonts w:cs="Calibri" w:ascii="Calibri" w:hAnsi="Calibr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Stawonogi            ( skorupiaki, owady, pajęczaki)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stawonogi wśród innych zwierząt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skorupiaki, owady i pajęczaki jako zwierzęta należące do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części ciała poszczególnych grup stawonogów</w:t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miejsca bytowania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rozróżnia wśród stawonogów skorupiaki, owady i pajęczaki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różnorodność miejsc bytowania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kryteria podziału stawonogów na skorupiaki, owady i pajęczaki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funkcje odnóży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wskazane czynności życiowe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cechy umożliwiające rozpoznanie skorupiaków, owadów i pajęczaków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cechy adaptacyjne wskazanej grupy stawonogów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czym jest oko złożone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przedstawia różnorodność budowy ciała stawonogów oraz ich trybu życia, wykazując jednocześnie ich cechy wspólne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cechy adaptacyjne stawonogów, umożliwiające im opanowanie różnych środowisk</w:t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9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 xml:space="preserve">.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Skorupiaki – stawonogi, które mają twardy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pancerz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części ciała skorupiaków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skorupiaki wśród innych stawonogów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środowiska występowania skorupiaków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budowę zewnętrzną skorupiaków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poszczególne części ciała u raka stawowego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wskazane czynności życiowe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budową skorupiaków a środowiskiem ich życia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eastAsia="Wingdings 2" w:cs="Wingdings 2" w:ascii="Wingdings 2" w:hAnsi="Wingdings 2"/>
                <w:kern w:val="0"/>
                <w:sz w:val="22"/>
                <w:szCs w:val="20"/>
                <w:lang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0"/>
                <w:lang w:val="pl-PL" w:bidi="ar-SA"/>
              </w:rPr>
              <w:t>wynienia znaczenie skorupiaków w przyrodzie</w:t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znaczenie skorupiaków w przyrodzie i dla człowieka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10. Owady – stawonogi zdolne do lotu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elementy budowy zewnętrznej owadów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wylicza środowiska życia owadów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owady wśród innych stawonogów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budowy wybranych gatunków owadów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dla człowieka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kilku przykładach omawia różnice w budowie owadów oraz ich przystosowania do życia w różnych środowiskach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dla człowieka</w:t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odnóży owadów a środowiskiem ich życia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wybranych przykładach omawia znaczenie owadów w przyrodzie i dla człowieka</w:t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budowę narządów gębowych owadów i wykazuje jej związek z pobieranym pokarmem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11. Pajęczaki – stawonogi, które mają cztery pary odnóży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środowiska występowania pajęczaków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pajęczaki wśród innych stawonogów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charakterystyczne cechy budowy zewnętrznej pajęczaków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sposób odżywiania się pajęczaków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cech budowy zewnętrznej pajęczaków przyporządkowuje konkretne okazy do odpowiednich gatunków przedstawionych w podręczniku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edukacyjnego omawia czynności życiowe pajęczaków</w:t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odżywiania się pajęczaków na przykładzie wybranych przedstawicieli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odnóża pajęczaków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pajęczaków w przyrodzie i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elementy budowy zewnętrznej pajęczaków i wykazuje ich przystosowania do środowiska życia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12. Mięczaki – zwierzęta, które mają muszlę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miejsca występowania mięczaków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ilustracji elementy budowy ślimaka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mięczaków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ilustracjach elementy budowy mięczaków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 omawia czynności życiowe mięczaków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różnice w budowie ślimaków, małży i głowonogów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mięczaków w przyrodzie i dla człowieka</w:t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gatunki ślimaków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konstruuje tabelę, w której porównuje trzy grupy mięczaków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  <w:textDirection w:val="btLr"/>
          </w:tcPr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42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IV.Kręgowce zmiennocieplne</w:t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Pa20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IV. Kręgowce zmiennocieplne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13. Ryby – kręgowce środowisk wodnych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wodę jako środowisko życia ryb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ryby wśród innych zwierząt kręgowych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ryb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przyporządkowuje wskazany organizm do ryb na podstawie znajomości ich cech charakterystycznych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obserwacji żywych okazów lub filmu  omawia czynności życiowe ryb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płetwy  i wskazuje ich położenie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proces wymiany gazowej u ryb</w:t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na czym polega zmiennocieplność ryb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sposób rozmnażania ryb, wyjaśniając, czym jest tarło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przystosowania ryb w budowie zewnętrznej i czynnościach życiowych do życia w wodzie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14. Przegląd i znaczenie ryb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kilka gatunków ryb przedstawionych w podręczniku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 rybę  wskazywaną przez nauczyciela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zdobywania pokarmu przez ryby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nazwę ryby dwuśrodowiskowej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kilkoma przykładami ilustruje strategie zdobywania pokarmu przez ryby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kilka nazw gatunkowych ryb żyjących w Bałtyku</w:t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ryb w przyrodzie i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zagrożenia i konieczność ochrony ryb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budową ryb a miejscem ich bytowania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15. Płazy – bezoogonowe i ogoniaste. kręgowce środowisk wodno</w:t>
              <w:softHyphen/>
              <w:t>-lądowych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środowisko życia płazów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części ciała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płaza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stadia rozwojowe żaby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przystosowania płazów do życia w wodzie i na lądzie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wybrane czynności życiowe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cykl rozwojowy żaby i wykazuje jego związek z życiem w wodzie i na lądzie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w jaki sposób przebiega wymiana gazowa u płazów, wykazując związek z ich życiem w dwóch środowiskach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trybem życia płazów a ich zmiennocieplnością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16. Przegląd i znaczenie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 na ilustracji płazy ogoniaste, beznogie i bezogonowe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przykłady płazów żyjących w Polsce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główne zagrożenia dla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przykłady  płazów  ogoniastych , bezogonowych  i beznogich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główne zagrożenia dla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płazy ogoniaste, bezogonowe i beznogie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sposoby ochrony płazów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płazów w przyrodzie i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wykonuje portfolio lub prezentację multimedialną na temat płazów żyjących w Polsce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17. Gady – kręgowce, które opanowały ląd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środowiska życia gadów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zewnętrzną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związek istniejący między występowaniem gadów a ich zmiennocieplnością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gady wśród innych zwierząt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przystosowania gadów do życia na lądzie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tryb życia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rozmnażanie i rozwój gadów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przebieg wymiany gazowej u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pokrycie ciała gadów w kontekście ochrony przed utratą wody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sposobem rozmnażania gadów a środowiskiem ich życia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18. Przegląd i znaczenie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na ilustracji jaszczurki, krokodyle, węże i żółwie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środowiska życia gadów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podaje przyczyny zmniejszania się populacji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zdobywania pokarmu przez gady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sposoby ochrony gadów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gady występujące w Polsce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przyczyny wymierania gadów i podaje sposoby zapobiegania zmniejszaniu się ich populacji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znaczenie gadów w przyrodzie i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prezentację (np. PowerPoint) na temat gadów żyjących w Polsce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restart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833" w:right="113" w:hanging="72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left"/>
              <w:rPr>
                <w:rFonts w:cs="Calibri" w:cstheme="minorHAnsi"/>
                <w:b/>
                <w:b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b/>
                <w:sz w:val="22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contextualSpacing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bidi="ar-SA"/>
              </w:rPr>
              <w:t>V. Kręgowce stałocieplne</w:t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19. Ptaki – kręgowce zdolne do lotu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różnorodne siedliska występowania ptaków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żywym okazie lub na ilustracji wskazuje cechy budowy ptaków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ptaki wśród innych zwierząt, wskazując ich charakterystyczne cechy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rodzaje piór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elementy budowy jaja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ptaki jako zwierzęta stałocieplne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przystosowania ptaków do lotu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budowę piór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proces rozmnażania i rozwój ptaków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rolę piór w utrzymaniu stałocieplności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budowę piór ptaków w związku z pełnioną przez nie funkcją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wymianą gazową a umiejętnością latania ptaków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proces rozmnażania i rozwoju ptaków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przebiegiem wymiany gazowej a przystosowaniem ptaków do lotu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na ilustracji lub podczas obserwacji w terenie rozpoznaje gatunki ptaków zamieszkujących najbliższą okolicę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20. Przegląd</w:t>
            </w:r>
          </w:p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i znaczenie ptaków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 przykłady ptaków żyjących w różnych środowiskach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ocenia  pozytywne znaczenie ptaków w przyrodzie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ptaków w przyrodzie i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zagrożenia dla ptaków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istniejący między wielkością i kształtem dziobów ptaków a rodzajem spożywanego przez nie pokarmu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sposoby ochrony ptaków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związek między stałocieplnością ptaków a środowiskiem i trybem ich życia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korzysta z aplikacji  do oznaczania popularnych gatunków ptaków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21. Ssaki łożyskowe kręgowce, które karmią młode mlekiem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wskazuje środowiska występowania ssaków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podstawie ilustracji omawia budowę zewnętrzną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zróżnicowanie siedlisk zajmowanych przez ssaki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określa ssaki jako zwierzęta stałocieplne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wytwory skóry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ilustracji lub na żywym obiekcie wskazuje cechy charakterystyczne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 wspólne dla ssaków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wyjaśnia, że budowa skóry ssaków ma związek z utrzymywaniem przez nie stałocieplności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proces rozmnażania i rozwój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opisuje przystosowania ssaków do różnych środowisk życia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charakteryzuje opiekę nad potomstwem u ssaków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identyfikuje wytwory skóry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związek zachodzący między wymianą gazową ssaków a zróżnicowanymi środowiskami ich występowania i ich życiową aktywnością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funkcje skóry w aspekcie różnorodności siedlisk zajmowanych przez ssaki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</w:tr>
      <w:tr>
        <w:trPr/>
        <w:tc>
          <w:tcPr>
            <w:tcW w:w="16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1843" w:type="dxa"/>
            <w:tcBorders/>
          </w:tcPr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22. Przegląd</w:t>
            </w:r>
          </w:p>
          <w:p>
            <w:pPr>
              <w:pStyle w:val="Pa21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bidi="ar-SA"/>
              </w:rPr>
              <w:t>i znaczenie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198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przystosowania ssaków do zróżnicowanych środowisk ich bytowania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zależność między budową morfologiczną ssaków a zajmowanym przez nie siedliskiem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nazywa wskazane zęby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rozpoznaje zęby ssaków i wyjaśnia ich funkcje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wyjaśnia znaczenie ssaków dla przyrody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  <w:tc>
          <w:tcPr>
            <w:tcW w:w="209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omawia znaczenie ssaków dla człowieka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wymienia zagrożenia dla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sz w:val="22"/>
                <w:szCs w:val="20"/>
                <w:lang w:val="pl-PL"/>
              </w:rPr>
            </w:r>
          </w:p>
        </w:tc>
        <w:tc>
          <w:tcPr>
            <w:tcW w:w="212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analizuje zagrożenia ssaków i wskazuje sposoby ich ochrony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Wingdings 2" w:cs="Wingdings 2" w:ascii="Wingdings 2" w:hAnsi="Wingdings 2"/>
                <w:kern w:val="0"/>
                <w:sz w:val="20"/>
                <w:szCs w:val="20"/>
                <w:lang w:val="pl-PL" w:bidi="ar-SA"/>
              </w:rPr>
              <w:t>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wykazuje przynależność człowieka do ssaków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2"/>
                <w:szCs w:val="20"/>
              </w:rPr>
            </w:r>
          </w:p>
        </w:tc>
      </w:tr>
    </w:tbl>
    <w:p>
      <w:pPr>
        <w:pStyle w:val="Normal"/>
        <w:spacing w:before="0" w:after="0"/>
        <w:contextualSpacing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gutter="0" w:header="0" w:top="1418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Roboto">
    <w:charset w:val="ee"/>
    <w:family w:val="roman"/>
    <w:pitch w:val="variable"/>
  </w:font>
  <w:font w:name="Humanst521EU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opka1"/>
      <w:jc w:val="cent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-360045</wp:posOffset>
              </wp:positionH>
              <wp:positionV relativeFrom="paragraph">
                <wp:posOffset>-36195</wp:posOffset>
              </wp:positionV>
              <wp:extent cx="3096260" cy="381635"/>
              <wp:effectExtent l="0" t="0" r="0" b="0"/>
              <wp:wrapNone/>
              <wp:docPr id="1" name="Group 1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6360" cy="381600"/>
                        <a:chOff x="0" y="0"/>
                        <a:chExt cx="3096360" cy="381600"/>
                      </a:xfrm>
                    </wpg:grpSpPr>
                    <pic:pic xmlns:pic="http://schemas.openxmlformats.org/drawingml/2006/picture">
                      <pic:nvPicPr>
                        <pic:cNvPr id="0" name="Picture 16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7640"/>
                          <a:ext cx="528480" cy="36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595800" y="0"/>
                          <a:ext cx="250056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jc w:val="both"/>
                              <w:rPr/>
                            </w:pPr>
                            <w:r>
                              <w:rPr>
                                <w:rFonts w:eastAsia="Calibri" w:ascii="Roboto" w:hAnsi="Roboto"/>
                                <w:color w:val="000000"/>
                                <w:sz w:val="16"/>
                                <w:szCs w:val="20"/>
                                <w:lang w:val="pl-PL" w:eastAsia="pl-PL"/>
                              </w:rPr>
                              <w:t>www.dlanauczyciela.pl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jc w:val="both"/>
                              <w:rPr/>
                            </w:pPr>
                            <w:r>
                              <w:rPr>
                                <w:rFonts w:eastAsia="Calibri" w:ascii="Roboto" w:hAnsi="Roboto"/>
                                <w:color w:val="000000"/>
                                <w:sz w:val="16"/>
                                <w:szCs w:val="20"/>
                                <w:lang w:val="pl-PL" w:eastAsia="pl-PL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lIns="144000" rIns="0" tIns="3636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8" style="position:absolute;margin-left:-28.35pt;margin-top:-2.85pt;width:243.8pt;height:30.05pt" coordorigin="-567,-57" coordsize="4876,6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6" stroked="f" o:allowincell="f" style="position:absolute;left:-567;top:-29;width:831;height:572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  <v:rect id="shape_0" path="m0,0l-2147483645,0l-2147483645,-2147483646l0,-2147483646xe" fillcolor="white" stroked="f" o:allowincell="f" style="position:absolute;left:371;top:-57;width:3937;height:566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jc w:val="both"/>
                        <w:rPr/>
                      </w:pPr>
                      <w:r>
                        <w:rPr>
                          <w:rFonts w:eastAsia="Calibri" w:ascii="Roboto" w:hAnsi="Roboto"/>
                          <w:color w:val="000000"/>
                          <w:sz w:val="16"/>
                          <w:szCs w:val="20"/>
                          <w:lang w:val="pl-PL" w:eastAsia="pl-PL"/>
                        </w:rPr>
                        <w:t>www.dlanauczyciela.pl</w:t>
                      </w:r>
                    </w:p>
                    <w:p>
                      <w:pPr>
                        <w:pStyle w:val="Normal"/>
                        <w:overflowPunct w:val="true"/>
                        <w:jc w:val="both"/>
                        <w:rPr/>
                      </w:pPr>
                      <w:r>
                        <w:rPr>
                          <w:rFonts w:eastAsia="Calibri" w:ascii="Roboto" w:hAnsi="Roboto"/>
                          <w:color w:val="000000"/>
                          <w:sz w:val="16"/>
                          <w:szCs w:val="20"/>
                          <w:lang w:val="pl-PL" w:eastAsia="pl-PL"/>
                        </w:rPr>
                        <w:t>© Copyright by Nowa Era Sp. z o.o.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  <w:rPr/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833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  <w:rPr/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284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5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e283b"/>
    <w:rPr>
      <w:rFonts w:ascii="Times New Roman" w:hAnsi="Times New Roman" w:eastAsia="Times New Roman"/>
      <w:sz w:val="24"/>
    </w:rPr>
  </w:style>
  <w:style w:type="character" w:styleId="Zakotwiczenieprzypisudolnego">
    <w:name w:val="Footnote Reference"/>
    <w:rPr>
      <w:b/>
      <w:sz w:val="18"/>
      <w:vertAlign w:val="superscript"/>
    </w:rPr>
  </w:style>
  <w:style w:type="character" w:styleId="FootnoteCharacters">
    <w:name w:val="Footnote Characters"/>
    <w:semiHidden/>
    <w:qFormat/>
    <w:rsid w:val="00be283b"/>
    <w:rPr>
      <w:b/>
      <w:sz w:val="18"/>
      <w:vertAlign w:val="superscript"/>
    </w:rPr>
  </w:style>
  <w:style w:type="character" w:styleId="TekstprzypisudolnegoZnak" w:customStyle="1">
    <w:name w:val="Tekst przypisu dolnego Znak"/>
    <w:semiHidden/>
    <w:qFormat/>
    <w:rsid w:val="00be283b"/>
    <w:rPr>
      <w:rFonts w:ascii="Times New Roman" w:hAnsi="Times New Roman" w:eastAsia="Times New Roman"/>
    </w:rPr>
  </w:style>
  <w:style w:type="character" w:styleId="StopkaZnak" w:customStyle="1">
    <w:name w:val="Stopka Znak"/>
    <w:uiPriority w:val="99"/>
    <w:qFormat/>
    <w:rsid w:val="000e7d0e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Znakinumeracji" w:customStyle="1">
    <w:name w:val="Znaki numeracji"/>
    <w:qFormat/>
    <w:rsid w:val="00c2032c"/>
    <w:rPr/>
  </w:style>
  <w:style w:type="character" w:styleId="Znakiwypunktowania" w:customStyle="1">
    <w:name w:val="Znaki wypunktowania"/>
    <w:qFormat/>
    <w:rsid w:val="00c2032c"/>
    <w:rPr>
      <w:rFonts w:ascii="OpenSymbol" w:hAnsi="OpenSymbol" w:eastAsia="OpenSymbol" w:cs="OpenSymbol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c2032c"/>
    <w:rPr>
      <w:rFonts w:ascii="Times New Roman" w:hAnsi="Times New Roman" w:eastAsia="Andale Sans UI" w:cs="Tahoma"/>
      <w:kern w:val="2"/>
      <w:lang w:val="de-DE" w:eastAsia="ja-JP" w:bidi="fa-IR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c2032c"/>
    <w:rPr>
      <w:rFonts w:ascii="Times New Roman" w:hAnsi="Times New Roman" w:eastAsia="Andale Sans UI" w:cs="Tahoma"/>
      <w:b/>
      <w:bCs/>
      <w:kern w:val="2"/>
      <w:lang w:val="de-DE" w:eastAsia="ja-JP" w:bidi="fa-IR"/>
    </w:rPr>
  </w:style>
  <w:style w:type="character" w:styleId="TekstdymkaZnak" w:customStyle="1">
    <w:name w:val="Tekst dymka Znak"/>
    <w:link w:val="BalloonText"/>
    <w:uiPriority w:val="99"/>
    <w:semiHidden/>
    <w:qFormat/>
    <w:rsid w:val="00c2032c"/>
    <w:rPr>
      <w:rFonts w:ascii="Tahoma" w:hAnsi="Tahoma" w:eastAsia="Andale Sans UI" w:cs="Tahoma"/>
      <w:kern w:val="2"/>
      <w:sz w:val="16"/>
      <w:szCs w:val="16"/>
      <w:lang w:val="de-DE" w:eastAsia="ja-JP" w:bidi="fa-IR"/>
    </w:rPr>
  </w:style>
  <w:style w:type="character" w:styleId="PlandokumentuZnak" w:customStyle="1">
    <w:name w:val="Plan dokumentu Znak"/>
    <w:link w:val="Plandokumentu1"/>
    <w:uiPriority w:val="99"/>
    <w:semiHidden/>
    <w:qFormat/>
    <w:rsid w:val="00c2032c"/>
    <w:rPr>
      <w:rFonts w:ascii="Tahoma" w:hAnsi="Tahoma" w:eastAsia="Andale Sans UI" w:cs="Tahoma"/>
      <w:kern w:val="2"/>
      <w:sz w:val="16"/>
      <w:szCs w:val="16"/>
      <w:lang w:val="de-DE" w:eastAsia="ja-JP" w:bidi="fa-IR"/>
    </w:rPr>
  </w:style>
  <w:style w:type="character" w:styleId="Annotationreference">
    <w:name w:val="annotation reference"/>
    <w:uiPriority w:val="99"/>
    <w:semiHidden/>
    <w:unhideWhenUsed/>
    <w:qFormat/>
    <w:rsid w:val="00524057"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c2032c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c2032c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be283b"/>
    <w:pPr>
      <w:widowControl w:val="false"/>
      <w:tabs>
        <w:tab w:val="clear" w:pos="284"/>
        <w:tab w:val="center" w:pos="4252" w:leader="none"/>
        <w:tab w:val="right" w:pos="8504" w:leader="none"/>
      </w:tabs>
      <w:spacing w:before="0" w:after="120"/>
      <w:jc w:val="both"/>
    </w:pPr>
    <w:rPr>
      <w:szCs w:val="20"/>
      <w:lang w:val="pl-PL" w:eastAsia="pl-PL"/>
    </w:rPr>
  </w:style>
  <w:style w:type="paragraph" w:styleId="Przypisdolny">
    <w:name w:val="Footnote Text"/>
    <w:basedOn w:val="Normal"/>
    <w:link w:val="TekstprzypisudolnegoZnak"/>
    <w:semiHidden/>
    <w:rsid w:val="00be283b"/>
    <w:pPr>
      <w:widowControl w:val="false"/>
      <w:suppressAutoHyphens w:val="true"/>
      <w:ind w:left="227" w:hanging="227"/>
    </w:pPr>
    <w:rPr>
      <w:sz w:val="20"/>
      <w:szCs w:val="20"/>
      <w:lang w:val="pl-PL" w:eastAsia="pl-PL"/>
    </w:rPr>
  </w:style>
  <w:style w:type="paragraph" w:styleId="Standard" w:customStyle="1">
    <w:name w:val="Standard"/>
    <w:qFormat/>
    <w:rsid w:val="00c503c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opka">
    <w:name w:val="Footer"/>
    <w:basedOn w:val="Normal"/>
    <w:link w:val="StopkaZnak"/>
    <w:uiPriority w:val="99"/>
    <w:unhideWhenUsed/>
    <w:rsid w:val="000e7d0e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Nagwek1" w:customStyle="1">
    <w:name w:val="Nagłówek1"/>
    <w:basedOn w:val="Standard"/>
    <w:next w:val="Textbody"/>
    <w:qFormat/>
    <w:rsid w:val="00c2032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rsid w:val="00c2032c"/>
    <w:pPr>
      <w:spacing w:before="0" w:after="120"/>
    </w:pPr>
    <w:rPr/>
  </w:style>
  <w:style w:type="paragraph" w:styleId="Legenda1" w:customStyle="1">
    <w:name w:val="Legenda1"/>
    <w:basedOn w:val="Standard"/>
    <w:qFormat/>
    <w:rsid w:val="00c2032c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rsid w:val="00c2032c"/>
    <w:pPr>
      <w:suppressLineNumbers/>
    </w:pPr>
    <w:rPr/>
  </w:style>
  <w:style w:type="paragraph" w:styleId="Nagwektabeli" w:customStyle="1">
    <w:name w:val="Nagłówek tabeli"/>
    <w:basedOn w:val="Zawartotabeli"/>
    <w:qFormat/>
    <w:rsid w:val="00c2032c"/>
    <w:pPr>
      <w:jc w:val="center"/>
    </w:pPr>
    <w:rPr>
      <w:b/>
      <w:bCs/>
    </w:rPr>
  </w:style>
  <w:style w:type="paragraph" w:styleId="Stopka1" w:customStyle="1">
    <w:name w:val="Stopka1"/>
    <w:basedOn w:val="Standard"/>
    <w:qFormat/>
    <w:rsid w:val="00c2032c"/>
    <w:pPr>
      <w:suppressLineNumbers/>
      <w:tabs>
        <w:tab w:val="clear" w:pos="284"/>
        <w:tab w:val="center" w:pos="7285" w:leader="none"/>
        <w:tab w:val="right" w:pos="14570" w:leader="none"/>
      </w:tabs>
    </w:pPr>
    <w:rPr/>
  </w:style>
  <w:style w:type="paragraph" w:styleId="ListParagraph">
    <w:name w:val="List Paragraph"/>
    <w:basedOn w:val="Normal"/>
    <w:uiPriority w:val="34"/>
    <w:qFormat/>
    <w:rsid w:val="00c2032c"/>
    <w:pPr>
      <w:widowControl w:val="false"/>
      <w:suppressAutoHyphens w:val="true"/>
      <w:ind w:left="720" w:hanging="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2032c"/>
    <w:pPr>
      <w:widowControl w:val="false"/>
      <w:suppressAutoHyphens w:val="true"/>
      <w:textAlignment w:val="baseline"/>
    </w:pPr>
    <w:rPr>
      <w:rFonts w:eastAsia="Andale Sans UI" w:cs="Tahoma"/>
      <w:kern w:val="2"/>
      <w:sz w:val="20"/>
      <w:szCs w:val="20"/>
      <w:lang w:val="de-DE" w:eastAsia="ja-JP" w:bidi="fa-IR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2032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032c"/>
    <w:pPr>
      <w:widowControl w:val="false"/>
      <w:suppressAutoHyphens w:val="true"/>
      <w:textAlignment w:val="baseline"/>
    </w:pPr>
    <w:rPr>
      <w:rFonts w:ascii="Tahoma" w:hAnsi="Tahoma" w:eastAsia="Andale Sans UI" w:cs="Tahoma"/>
      <w:kern w:val="2"/>
      <w:sz w:val="16"/>
      <w:szCs w:val="16"/>
      <w:lang w:val="de-DE" w:eastAsia="ja-JP" w:bidi="fa-IR"/>
    </w:rPr>
  </w:style>
  <w:style w:type="paragraph" w:styleId="Plandokumentu1" w:customStyle="1">
    <w:name w:val="Plan dokumentu1"/>
    <w:basedOn w:val="Normal"/>
    <w:link w:val="PlandokumentuZnak"/>
    <w:uiPriority w:val="99"/>
    <w:semiHidden/>
    <w:unhideWhenUsed/>
    <w:qFormat/>
    <w:rsid w:val="00c2032c"/>
    <w:pPr>
      <w:widowControl w:val="false"/>
      <w:suppressAutoHyphens w:val="true"/>
      <w:textAlignment w:val="baseline"/>
    </w:pPr>
    <w:rPr>
      <w:rFonts w:ascii="Tahoma" w:hAnsi="Tahoma" w:eastAsia="Andale Sans UI" w:cs="Tahoma"/>
      <w:kern w:val="2"/>
      <w:sz w:val="16"/>
      <w:szCs w:val="16"/>
      <w:lang w:val="de-DE" w:eastAsia="ja-JP" w:bidi="fa-IR"/>
    </w:rPr>
  </w:style>
  <w:style w:type="paragraph" w:styleId="StopkaCopyright" w:customStyle="1">
    <w:name w:val="Stopka Copyright"/>
    <w:basedOn w:val="Normal"/>
    <w:qFormat/>
    <w:rsid w:val="00245292"/>
    <w:pPr>
      <w:jc w:val="both"/>
    </w:pPr>
    <w:rPr>
      <w:rFonts w:ascii="Roboto" w:hAnsi="Roboto" w:eastAsia="Calibri"/>
      <w:iCs/>
      <w:color w:val="000000"/>
      <w:sz w:val="16"/>
      <w:szCs w:val="18"/>
      <w:lang w:val="pl-PL"/>
    </w:rPr>
  </w:style>
  <w:style w:type="paragraph" w:styleId="Revision">
    <w:name w:val="Revision"/>
    <w:uiPriority w:val="99"/>
    <w:semiHidden/>
    <w:qFormat/>
    <w:rsid w:val="00461e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Pa20" w:customStyle="1">
    <w:name w:val="Pa20"/>
    <w:basedOn w:val="Normal"/>
    <w:next w:val="Normal"/>
    <w:uiPriority w:val="99"/>
    <w:qFormat/>
    <w:rsid w:val="003b1545"/>
    <w:pPr>
      <w:spacing w:lineRule="atLeast" w:line="171"/>
    </w:pPr>
    <w:rPr>
      <w:rFonts w:ascii="Humanst521EU" w:hAnsi="Humanst521EU" w:eastAsia="Calibri" w:cs="" w:cstheme="minorBidi" w:eastAsiaTheme="minorHAnsi"/>
      <w:lang w:val="pl-PL"/>
    </w:rPr>
  </w:style>
  <w:style w:type="paragraph" w:styleId="Pa21" w:customStyle="1">
    <w:name w:val="Pa21"/>
    <w:basedOn w:val="Normal"/>
    <w:next w:val="Normal"/>
    <w:uiPriority w:val="99"/>
    <w:qFormat/>
    <w:rsid w:val="003b1545"/>
    <w:pPr>
      <w:spacing w:lineRule="atLeast" w:line="171"/>
    </w:pPr>
    <w:rPr>
      <w:rFonts w:ascii="Humanst521EU" w:hAnsi="Humanst521EU" w:eastAsia="Calibri" w:cs="" w:cstheme="minorBidi" w:eastAsiaTheme="minorHAnsi"/>
      <w:lang w:val="pl-PL"/>
    </w:rPr>
  </w:style>
  <w:style w:type="paragraph" w:styleId="Default" w:customStyle="1">
    <w:name w:val="Default"/>
    <w:qFormat/>
    <w:rsid w:val="003b1545"/>
    <w:pPr>
      <w:widowControl/>
      <w:suppressAutoHyphens w:val="true"/>
      <w:bidi w:val="0"/>
      <w:spacing w:before="0" w:after="0"/>
      <w:jc w:val="left"/>
    </w:pPr>
    <w:rPr>
      <w:rFonts w:ascii="Humanst521EU" w:hAnsi="Humanst521EU" w:eastAsia="Calibri" w:cs="Humanst521EU" w:eastAsiaTheme="minorHAnsi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3c4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LibreOffice/7.4.1.2$Windows_X86_64 LibreOffice_project/3c58a8f3a960df8bc8fd77b461821e42c061c5f0</Application>
  <AppVersion>15.0000</AppVersion>
  <Pages>12</Pages>
  <Words>2888</Words>
  <Characters>18381</Characters>
  <CharactersWithSpaces>20707</CharactersWithSpaces>
  <Paragraphs>393</Paragraphs>
  <Company>Nowa Era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2024-08-07T21:16:00Z</dcterms:created>
  <dc:creator>a.detka</dc:creator>
  <dc:description/>
  <dc:language>pl-PL</dc:language>
  <cp:lastModifiedBy/>
  <cp:lastPrinted>2019-05-20T05:31:00Z</cp:lastPrinted>
  <dcterms:modified xsi:type="dcterms:W3CDTF">2024-09-10T15:22:36Z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