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0" w:rsidRDefault="00DB41F0" w:rsidP="00DB41F0">
      <w:pPr>
        <w:pStyle w:val="NormalnyWeb"/>
        <w:spacing w:after="0"/>
        <w:jc w:val="center"/>
      </w:pPr>
      <w:r>
        <w:rPr>
          <w:b/>
          <w:bCs/>
          <w:color w:val="616154"/>
          <w:sz w:val="28"/>
          <w:szCs w:val="28"/>
          <w:u w:val="single"/>
        </w:rPr>
        <w:t>WEWNĄTZRSZKOLNY SYSTEM DORADZTWA ZAWODOWEGO</w:t>
      </w:r>
    </w:p>
    <w:p w:rsidR="00DB41F0" w:rsidRDefault="00DB41F0" w:rsidP="00DB41F0">
      <w:pPr>
        <w:pStyle w:val="NormalnyWeb"/>
        <w:spacing w:after="0"/>
        <w:jc w:val="center"/>
      </w:pPr>
      <w:r>
        <w:rPr>
          <w:color w:val="616154"/>
          <w:sz w:val="28"/>
          <w:szCs w:val="28"/>
        </w:rPr>
        <w:t>XLVIII LICEUM OGÓLNOKSZTAŁCĄCE</w:t>
      </w:r>
    </w:p>
    <w:p w:rsidR="00DB41F0" w:rsidRDefault="00DB41F0" w:rsidP="00DB41F0">
      <w:pPr>
        <w:pStyle w:val="NormalnyWeb"/>
        <w:spacing w:after="0"/>
        <w:jc w:val="center"/>
      </w:pPr>
      <w:r>
        <w:rPr>
          <w:color w:val="616154"/>
          <w:sz w:val="28"/>
          <w:szCs w:val="28"/>
        </w:rPr>
        <w:t>IM. E. DEMBOWSKIEGO W WARSZAWIE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b/>
          <w:bCs/>
          <w:color w:val="616154"/>
        </w:rPr>
        <w:t>1. PODSTAWA PRAWNA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 xml:space="preserve">Zapisy dotyczące zadań szkoły w zakresie doradztwa edukacyjno-zawodowego możemy znaleźć w następujących aktach prawnych: ˘ 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 xml:space="preserve">1. Ustawie o systemie oświaty (Dz. U. z 2004 r. Nr 256 poz. 2572, z </w:t>
      </w:r>
      <w:proofErr w:type="spellStart"/>
      <w:r>
        <w:rPr>
          <w:rFonts w:ascii="Arial" w:hAnsi="Arial" w:cs="Arial"/>
          <w:color w:val="616154"/>
        </w:rPr>
        <w:t>późn</w:t>
      </w:r>
      <w:proofErr w:type="spellEnd"/>
      <w:r>
        <w:rPr>
          <w:rFonts w:ascii="Arial" w:hAnsi="Arial" w:cs="Arial"/>
          <w:color w:val="616154"/>
        </w:rPr>
        <w:t>. zm.) ˘ Rozporządzeniu Ministra Edukacji Narodowej z dnia 30 kwietnia 2013 r. w sprawie zasad udzielania i organizacji pomocy psychologiczno-pedagogicznej w publicznych szkołach i placówkach (Dz. U. z 2013 r., poz. 532); ˘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 xml:space="preserve">2. Rozporządzeniu Ministra Edukacji Narodowej z dnia 21 maja 2001 r. w sprawie ramowych statutów publicznego przedszkola oraz publicznych szkół (Dz. U. z 2001 r. Nr 61, poz. 624, z </w:t>
      </w:r>
      <w:proofErr w:type="spellStart"/>
      <w:r>
        <w:rPr>
          <w:rFonts w:ascii="Arial" w:hAnsi="Arial" w:cs="Arial"/>
          <w:color w:val="616154"/>
        </w:rPr>
        <w:t>późn</w:t>
      </w:r>
      <w:proofErr w:type="spellEnd"/>
      <w:r>
        <w:rPr>
          <w:rFonts w:ascii="Arial" w:hAnsi="Arial" w:cs="Arial"/>
          <w:color w:val="616154"/>
        </w:rPr>
        <w:t xml:space="preserve">. zm.); ˘ 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 xml:space="preserve">3. Rozporządzeniu Ministra Edukacji Narodowej z dnia 1 lutego 2013 r. w sprawie zasad działania publicznych poradni psychologiczno-pedagogicznych, w tym poradni specjalistycznych (Dz. U. z 2013 r., poz. 199); ˘ 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4.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</w:t>
      </w:r>
      <w:proofErr w:type="spellStart"/>
      <w:r>
        <w:rPr>
          <w:rFonts w:ascii="Arial" w:hAnsi="Arial" w:cs="Arial"/>
          <w:color w:val="616154"/>
        </w:rPr>
        <w:t>Dz.U</w:t>
      </w:r>
      <w:proofErr w:type="spellEnd"/>
      <w:r>
        <w:rPr>
          <w:rFonts w:ascii="Arial" w:hAnsi="Arial" w:cs="Arial"/>
          <w:color w:val="616154"/>
        </w:rPr>
        <w:t xml:space="preserve">. z 2009 r. Nr 50, poz. 400, z </w:t>
      </w:r>
      <w:proofErr w:type="spellStart"/>
      <w:r>
        <w:rPr>
          <w:rFonts w:ascii="Arial" w:hAnsi="Arial" w:cs="Arial"/>
          <w:color w:val="616154"/>
        </w:rPr>
        <w:t>póź</w:t>
      </w:r>
      <w:proofErr w:type="spellEnd"/>
      <w:r>
        <w:rPr>
          <w:rFonts w:ascii="Arial" w:hAnsi="Arial" w:cs="Arial"/>
          <w:color w:val="616154"/>
        </w:rPr>
        <w:t xml:space="preserve">. zm.). 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b/>
          <w:bCs/>
          <w:color w:val="616154"/>
        </w:rPr>
        <w:t>2. CELE OGÓLNE I SZCEGÓŁOWE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- przygotowanie młodzieży do trafnego wyboru zawodu</w:t>
      </w:r>
    </w:p>
    <w:p w:rsidR="00DB41F0" w:rsidRDefault="00DB41F0" w:rsidP="00DB41F0">
      <w:pPr>
        <w:pStyle w:val="NormalnyWeb"/>
        <w:spacing w:after="0"/>
        <w:rPr>
          <w:rFonts w:ascii="Arial" w:hAnsi="Arial" w:cs="Arial"/>
          <w:color w:val="616154"/>
        </w:rPr>
      </w:pPr>
      <w:r>
        <w:rPr>
          <w:rFonts w:ascii="Arial" w:hAnsi="Arial" w:cs="Arial"/>
          <w:color w:val="616154"/>
        </w:rPr>
        <w:t>- przygotowanie młodzieży do dalszego kształcenia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- przygotowanie młodzieży do roli pracownika na współczesnym rynku pracy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b/>
          <w:bCs/>
          <w:color w:val="616154"/>
        </w:rPr>
        <w:t>3. OBSZARY DZIAŁANIA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- na poziomie ogólnoszkolnym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- na poziomie klas I, II, III</w:t>
      </w:r>
    </w:p>
    <w:p w:rsidR="00DB41F0" w:rsidRDefault="00DB41F0" w:rsidP="00DB41F0">
      <w:pPr>
        <w:pStyle w:val="NormalnyWeb"/>
        <w:spacing w:after="0"/>
        <w:rPr>
          <w:rFonts w:ascii="Arial" w:hAnsi="Arial" w:cs="Arial"/>
          <w:b/>
          <w:bCs/>
          <w:color w:val="616154"/>
        </w:rPr>
      </w:pPr>
    </w:p>
    <w:p w:rsidR="00DB41F0" w:rsidRDefault="00DB41F0" w:rsidP="00DB41F0">
      <w:pPr>
        <w:pStyle w:val="NormalnyWeb"/>
        <w:spacing w:after="0"/>
        <w:rPr>
          <w:rFonts w:ascii="Arial" w:hAnsi="Arial" w:cs="Arial"/>
          <w:b/>
          <w:bCs/>
          <w:color w:val="616154"/>
        </w:rPr>
      </w:pPr>
    </w:p>
    <w:p w:rsidR="00DB41F0" w:rsidRDefault="00DB41F0" w:rsidP="00DB41F0">
      <w:pPr>
        <w:pStyle w:val="NormalnyWeb"/>
        <w:spacing w:after="0"/>
        <w:rPr>
          <w:rFonts w:ascii="Arial" w:hAnsi="Arial" w:cs="Arial"/>
          <w:b/>
          <w:bCs/>
          <w:color w:val="616154"/>
        </w:rPr>
      </w:pP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b/>
          <w:bCs/>
          <w:color w:val="616154"/>
        </w:rPr>
        <w:lastRenderedPageBreak/>
        <w:t>4. METODY I FORMY PRACY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pogadanka, warsztaty, ankiety, konsultacje indywidualne, szkolenia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Założenia WSDZ będą realizowane w ramach godzin wychowawczych, lekcji przedmiotowych, np.: podstaw przedsiębiorczości, języka polskiego, WOS, oraz zastępstw.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 xml:space="preserve">Współpraca z Poradnią Psychologiczno-Pedagogiczną oraz ˚ powiatowym urzędem pracy, ˚ innymi szkół tego samego lub wyższego typu, ˚ Ochotniczymi Hufcami Pracy, ˚ zakładami doskonalenia zawodowego, ˚ izbami rzemiosł, ˚ pracodawcami, ˚ organizacjami pozarządowymi, ˚ szkołami wyższymi, ˚ instytucjami szkoleniowymi . 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b/>
          <w:bCs/>
          <w:color w:val="616154"/>
        </w:rPr>
        <w:t>5. OSOBY ODPOWIEDZIALNE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Osobą nadzorującą prace w zakresie doradztwa zawodowego jest Dyrektor szkoły.</w:t>
      </w:r>
    </w:p>
    <w:p w:rsidR="00DB41F0" w:rsidRDefault="00DB41F0" w:rsidP="00DB41F0">
      <w:pPr>
        <w:pStyle w:val="NormalnyWeb"/>
        <w:spacing w:after="0"/>
      </w:pPr>
      <w:r>
        <w:rPr>
          <w:rFonts w:ascii="Arial" w:hAnsi="Arial" w:cs="Arial"/>
          <w:color w:val="616154"/>
        </w:rPr>
        <w:t>Każdy nauczyciel w ramach podstawy programowej nauczanych przedmiotów realizuje założenia WSDZ, ponadto są one realizowane przez wychowawców na godzinach wychowawczych.</w:t>
      </w:r>
    </w:p>
    <w:p w:rsidR="00DB41F0" w:rsidRDefault="00DB41F0" w:rsidP="00DB41F0"/>
    <w:p w:rsidR="001C6DB2" w:rsidRDefault="001C6DB2"/>
    <w:sectPr w:rsidR="001C6DB2" w:rsidSect="001C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1F0"/>
    <w:rsid w:val="001C6DB2"/>
    <w:rsid w:val="00D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2015-10-20T08:50:00Z</dcterms:created>
  <dcterms:modified xsi:type="dcterms:W3CDTF">2015-10-20T08:51:00Z</dcterms:modified>
</cp:coreProperties>
</file>